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4F27" w:rsidRDefault="00D34F27" w:rsidP="00007FD1">
      <w:pPr>
        <w:pStyle w:val="2"/>
      </w:pPr>
      <w:r w:rsidRPr="00E61398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与朱元思书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179558B" wp14:editId="76D367EB">
            <wp:extent cx="1047750" cy="209550"/>
            <wp:effectExtent l="19050" t="0" r="0" b="0"/>
            <wp:docPr id="39" name="图片 39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了解作者和时代背景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初步感知富春江之美和作者的思想感情。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品读赏析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理解本文景物描写</w:t>
      </w:r>
      <w:r w:rsidRPr="00E61398">
        <w:rPr>
          <w:rFonts w:ascii="Times New Roman" w:hAnsi="Times New Roman" w:cs="Times New Roman" w:hint="eastAsia"/>
        </w:rPr>
        <w:t>的特点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感受文章精练生动的语言特色。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培养热爱祖国传统文化、热爱祖国大好河山的感情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培养健康的审美情趣。</w:t>
      </w:r>
    </w:p>
    <w:p w:rsidR="00D34F27" w:rsidRDefault="00D34F27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746ABF1" wp14:editId="5D3F02E8">
            <wp:extent cx="1047750" cy="209550"/>
            <wp:effectExtent l="19050" t="0" r="0" b="0"/>
            <wp:docPr id="40" name="图片 40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古人说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智者乐水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仁者乐山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与自然融为一体是古代文人学士的共同追求。他们用心灵观察体会自然万物之美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赋予山水灵性、情感以至生命。吴均的《与朱元思书》为我们展现了独具特色的富春江景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让我们悉心体味、尽情观赏。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目标导学一：了解作者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疏通字词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了解作者及写作背景。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作者简介：</w:t>
      </w:r>
      <w:r w:rsidRPr="00E61398">
        <w:rPr>
          <w:rFonts w:ascii="Times New Roman" w:eastAsia="楷体_GB2312" w:hAnsi="Times New Roman" w:cs="Times New Roman"/>
        </w:rPr>
        <w:t>吴均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469—520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南朝梁文学家、史学家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字叔庠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吴兴故鄣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今浙江安吉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人。他文章工于写景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尤以小品书札见称。文辞清拔有古气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人称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吴均体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亦能诗。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写作背景：</w:t>
      </w:r>
      <w:r w:rsidRPr="00E61398">
        <w:rPr>
          <w:rFonts w:ascii="Times New Roman" w:eastAsia="楷体_GB2312" w:hAnsi="Times New Roman" w:cs="Times New Roman"/>
        </w:rPr>
        <w:t>魏晋南北朝时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政治黑暗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社会动乱。因而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不少知识分子寄情山水来排解心中的苦闷。《与朱元思书》是吴均写给他的朋友朱元思信中的</w:t>
      </w:r>
      <w:r w:rsidRPr="00E61398">
        <w:rPr>
          <w:rFonts w:ascii="Times New Roman" w:eastAsia="楷体_GB2312" w:hAnsi="Times New Roman" w:cs="Times New Roman" w:hint="eastAsia"/>
        </w:rPr>
        <w:t>一段话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写的是浙江境内富春江的秋景；原信中应当另有所述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但已散轶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亦无其他资料可考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只留下这看似兴之所至而写下的一段文字。虽然只是片段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但这段文字无论从内容还是结构上看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都有相对的完整性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是一篇优秀的山水小品文。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要求读准字音。特别注意以下字的读音。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缥</w:t>
      </w:r>
      <w:r w:rsidRPr="00E61398">
        <w:rPr>
          <w:rFonts w:ascii="Times New Roman" w:hAnsi="Times New Roman" w:cs="Times New Roman"/>
        </w:rPr>
        <w:t>碧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piǎo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急</w:t>
      </w:r>
      <w:r w:rsidRPr="00E61398">
        <w:rPr>
          <w:rFonts w:ascii="Times New Roman" w:hAnsi="Times New Roman" w:cs="Times New Roman"/>
          <w:em w:val="underDot"/>
        </w:rPr>
        <w:t>湍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tuān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轩</w:t>
      </w:r>
      <w:r w:rsidRPr="00E61398">
        <w:rPr>
          <w:rFonts w:ascii="Times New Roman" w:hAnsi="Times New Roman" w:cs="Times New Roman"/>
          <w:em w:val="underDot"/>
        </w:rPr>
        <w:t>邈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miǎo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  <w:em w:val="underDot"/>
        </w:rPr>
        <w:t>泠</w:t>
      </w:r>
      <w:r w:rsidRPr="00E61398">
        <w:rPr>
          <w:rFonts w:ascii="Times New Roman" w:hAnsi="Times New Roman" w:cs="Times New Roman"/>
        </w:rPr>
        <w:t>泠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líng</w:t>
      </w:r>
      <w:r>
        <w:rPr>
          <w:rFonts w:ascii="Times New Roman" w:hAnsi="Times New Roman" w:cs="Times New Roman"/>
        </w:rPr>
        <w:t>)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嘤</w:t>
      </w:r>
      <w:r w:rsidRPr="00E61398">
        <w:rPr>
          <w:rFonts w:ascii="Times New Roman" w:hAnsi="Times New Roman" w:cs="Times New Roman"/>
        </w:rPr>
        <w:t>嘤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yīng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千</w:t>
      </w:r>
      <w:r w:rsidRPr="00E61398">
        <w:rPr>
          <w:rFonts w:ascii="Times New Roman" w:hAnsi="Times New Roman" w:cs="Times New Roman"/>
          <w:em w:val="underDot"/>
        </w:rPr>
        <w:t>转</w:t>
      </w:r>
      <w:r w:rsidRPr="00E61398">
        <w:rPr>
          <w:rFonts w:ascii="Times New Roman" w:hAnsi="Times New Roman" w:cs="Times New Roman"/>
        </w:rPr>
        <w:t>不穷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zhu</w:t>
      </w:r>
      <w:r w:rsidRPr="00E61398">
        <w:rPr>
          <w:rFonts w:ascii="Times New Roman" w:hAnsi="Times New Roman" w:cs="Times New Roman" w:hint="eastAsia"/>
        </w:rPr>
        <w:t>à</w:t>
      </w:r>
      <w:r w:rsidRPr="00E61398"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  <w:em w:val="underDot"/>
        </w:rPr>
        <w:t>鸢</w:t>
      </w:r>
      <w:r w:rsidRPr="00E61398">
        <w:rPr>
          <w:rFonts w:ascii="Times New Roman" w:hAnsi="Times New Roman" w:cs="Times New Roman"/>
        </w:rPr>
        <w:t>飞</w:t>
      </w:r>
      <w:r w:rsidRPr="00E61398">
        <w:rPr>
          <w:rFonts w:ascii="Times New Roman" w:hAnsi="Times New Roman" w:cs="Times New Roman"/>
          <w:em w:val="underDot"/>
        </w:rPr>
        <w:t>戾</w:t>
      </w:r>
      <w:r w:rsidRPr="00E61398">
        <w:rPr>
          <w:rFonts w:ascii="Times New Roman" w:hAnsi="Times New Roman" w:cs="Times New Roman"/>
        </w:rPr>
        <w:t>天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yuān</w:t>
      </w:r>
      <w:r>
        <w:rPr>
          <w:rFonts w:ascii="Times New Roman" w:hAnsi="Times New Roman" w:cs="Times New Roman"/>
        </w:rPr>
        <w:t>)(</w:t>
      </w:r>
      <w:r w:rsidRPr="00E61398">
        <w:rPr>
          <w:rFonts w:ascii="Times New Roman" w:hAnsi="Times New Roman" w:cs="Times New Roman"/>
        </w:rPr>
        <w:t>lì</w:t>
      </w:r>
      <w:r>
        <w:rPr>
          <w:rFonts w:ascii="Times New Roman" w:hAnsi="Times New Roman" w:cs="Times New Roman"/>
        </w:rPr>
        <w:t>)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经</w:t>
      </w:r>
      <w:r w:rsidRPr="00E61398">
        <w:rPr>
          <w:rFonts w:ascii="Times New Roman" w:hAnsi="Times New Roman" w:cs="Times New Roman"/>
          <w:em w:val="underDot"/>
        </w:rPr>
        <w:t>纶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lún</w:t>
      </w:r>
      <w:r>
        <w:rPr>
          <w:rFonts w:ascii="Times New Roman" w:hAnsi="Times New Roman" w:cs="Times New Roman"/>
        </w:rPr>
        <w:t xml:space="preserve">)  </w:t>
      </w:r>
      <w:r w:rsidRPr="00E61398">
        <w:rPr>
          <w:rFonts w:ascii="Times New Roman" w:hAnsi="Times New Roman" w:cs="Times New Roman"/>
          <w:em w:val="underDot"/>
        </w:rPr>
        <w:t>窥</w:t>
      </w:r>
      <w:r w:rsidRPr="00E61398">
        <w:rPr>
          <w:rFonts w:ascii="Times New Roman" w:hAnsi="Times New Roman" w:cs="Times New Roman"/>
        </w:rPr>
        <w:t>谷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kuī</w:t>
      </w:r>
      <w:r>
        <w:rPr>
          <w:rFonts w:ascii="Times New Roman" w:hAnsi="Times New Roman" w:cs="Times New Roman"/>
        </w:rPr>
        <w:t xml:space="preserve">)  </w:t>
      </w:r>
      <w:r w:rsidRPr="00E61398">
        <w:rPr>
          <w:rFonts w:ascii="Times New Roman" w:hAnsi="Times New Roman" w:cs="Times New Roman"/>
        </w:rPr>
        <w:t>横</w:t>
      </w:r>
      <w:r w:rsidRPr="00E61398">
        <w:rPr>
          <w:rFonts w:ascii="Times New Roman" w:hAnsi="Times New Roman" w:cs="Times New Roman"/>
          <w:em w:val="underDot"/>
        </w:rPr>
        <w:t>柯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kē</w:t>
      </w:r>
      <w:r>
        <w:rPr>
          <w:rFonts w:ascii="Times New Roman" w:hAnsi="Times New Roman" w:cs="Times New Roman"/>
        </w:rPr>
        <w:t>)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要求读准节奏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尤其注意以下句子的朗读节奏。</w:t>
      </w:r>
    </w:p>
    <w:p w:rsidR="00D34F27" w:rsidRDefault="00D34F27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自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富阳至桐庐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一百许里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奇山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异水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天下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独绝。</w:t>
      </w:r>
    </w:p>
    <w:p w:rsidR="00D34F27" w:rsidRDefault="00D34F27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蝉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则千转不穷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猿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则百叫无绝。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鸢飞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戾天者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望峰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息心；经纶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世务者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窥谷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忘反。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借助工具书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同桌之间合作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老师指导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疏通文章大意。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目标导学二：合作探究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梳理思路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思考：本文篇幅虽短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但很讲究章法。请简述作者的写作思路。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文章首段以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奇山异水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天下独绝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八字总领全篇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第</w:t>
      </w:r>
      <w:r w:rsidRPr="00E61398">
        <w:rPr>
          <w:rFonts w:ascii="Times New Roman" w:eastAsia="楷体_GB2312" w:hAnsi="Times New Roman" w:cs="Times New Roman"/>
        </w:rPr>
        <w:t>2</w:t>
      </w:r>
      <w:r w:rsidRPr="00E61398">
        <w:rPr>
          <w:rFonts w:ascii="Times New Roman" w:eastAsia="楷体_GB2312" w:hAnsi="Times New Roman" w:cs="Times New Roman"/>
        </w:rPr>
        <w:t>、</w:t>
      </w:r>
      <w:r w:rsidRPr="00E61398">
        <w:rPr>
          <w:rFonts w:ascii="Times New Roman" w:eastAsia="楷体_GB2312" w:hAnsi="Times New Roman" w:cs="Times New Roman"/>
        </w:rPr>
        <w:t>3</w:t>
      </w:r>
      <w:r w:rsidRPr="00E61398">
        <w:rPr>
          <w:rFonts w:ascii="Times New Roman" w:eastAsia="楷体_GB2312" w:hAnsi="Times New Roman" w:cs="Times New Roman"/>
        </w:rPr>
        <w:t>两段分承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异水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奇山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两方面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围绕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独绝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二字展开生发和描摹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脉络分明。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目标导学三：仔细品味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把握特征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本文分别突出了富春江水和山的什么特征？请结合相关描写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以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我读出了富</w:t>
      </w:r>
      <w:r w:rsidRPr="00E61398">
        <w:rPr>
          <w:rFonts w:ascii="Times New Roman" w:hAnsi="Times New Roman" w:cs="Times New Roman" w:hint="eastAsia"/>
        </w:rPr>
        <w:t>春江的山</w:t>
      </w:r>
      <w:r>
        <w:rPr>
          <w:rFonts w:ascii="Times New Roman" w:hAnsi="Times New Roman" w:cs="Times New Roman" w:hint="eastAsia"/>
        </w:rPr>
        <w:t>(</w:t>
      </w:r>
      <w:r w:rsidRPr="00E61398">
        <w:rPr>
          <w:rFonts w:ascii="Times New Roman" w:hAnsi="Times New Roman" w:cs="Times New Roman" w:hint="eastAsia"/>
        </w:rPr>
        <w:t>水</w:t>
      </w:r>
      <w:r>
        <w:rPr>
          <w:rFonts w:ascii="Times New Roman" w:hAnsi="Times New Roman" w:cs="Times New Roman" w:hint="eastAsia"/>
        </w:rPr>
        <w:t>)</w:t>
      </w:r>
      <w:r w:rsidRPr="00E61398">
        <w:rPr>
          <w:rFonts w:ascii="Times New Roman" w:hAnsi="Times New Roman" w:cs="Times New Roman" w:hint="eastAsia"/>
        </w:rPr>
        <w:t>是</w:t>
      </w:r>
      <w:r w:rsidRPr="00E61398">
        <w:rPr>
          <w:rFonts w:ascii="Times New Roman" w:hAnsi="Times New Roman" w:cs="Times New Roman"/>
        </w:rPr>
        <w:t>______</w:t>
      </w:r>
      <w:r w:rsidRPr="00E61398"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从</w:t>
      </w:r>
      <w:r w:rsidRPr="00E61398">
        <w:rPr>
          <w:rFonts w:ascii="Times New Roman" w:hAnsi="Times New Roman" w:cs="Times New Roman"/>
        </w:rPr>
        <w:t>______</w:t>
      </w:r>
      <w:r w:rsidRPr="00E61398">
        <w:rPr>
          <w:rFonts w:ascii="Times New Roman" w:hAnsi="Times New Roman" w:cs="Times New Roman"/>
        </w:rPr>
        <w:t>一句可以体现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的句式谈谈。</w:t>
      </w:r>
    </w:p>
    <w:p w:rsidR="00D34F27" w:rsidRDefault="00D34F27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示例：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ascii="Times New Roman" w:eastAsia="楷体_GB2312" w:hAnsi="Times New Roman" w:cs="Times New Roman"/>
        </w:rPr>
        <w:t>我读出了富春江的山是高峻、连绵、充满生机的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夹岸高山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皆生寒树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负势竞上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互相轩邈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争高直指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千百成峰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一句可以体现。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eastAsia="楷体_GB2312" w:hAnsi="宋体" w:cs="Times New Roman"/>
        </w:rPr>
        <w:t>②</w:t>
      </w:r>
      <w:r w:rsidRPr="00E61398">
        <w:rPr>
          <w:rFonts w:ascii="Times New Roman" w:eastAsia="楷体_GB2312" w:hAnsi="Times New Roman" w:cs="Times New Roman"/>
        </w:rPr>
        <w:t>我读出了富春江的水是清澈、湍急的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水皆缥碧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千丈见底。游鱼细石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直视无碍。急湍甚箭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猛浪若奔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一句可以体现。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要点：</w:t>
      </w:r>
      <w:r w:rsidRPr="00E61398">
        <w:rPr>
          <w:rFonts w:ascii="Times New Roman" w:eastAsia="楷体_GB2312" w:hAnsi="Times New Roman" w:cs="Times New Roman"/>
        </w:rPr>
        <w:t>水的特征：清澈、湍急。山的特征：高峻、连绵、充满生机。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目标导学四：修辞品析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写作借鉴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本文综合运用了夸张、比喻、拟人、对偶等修辞手法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请举例并赏析其作用。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夸张：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千丈见底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直视无碍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用夸张手法描写水的澄澈透明；比喻：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急湍甚箭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猛浪若奔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连用两个比喻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生动形象地描写水的湍急；拟人：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负势竞上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互相轩邈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把山拟人化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形象地写出了山的高峻和绵延不断；对偶：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泉水激石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泠泠作响；好鸟相鸣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嘤嘤成韵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运用对偶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句式整齐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极具音韵美。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作者写水时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采</w:t>
      </w:r>
      <w:r w:rsidRPr="00E61398">
        <w:rPr>
          <w:rFonts w:ascii="Times New Roman" w:hAnsi="Times New Roman" w:cs="Times New Roman" w:hint="eastAsia"/>
        </w:rPr>
        <w:t>用了正、侧面描写和动静结合的手法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请举例并赏析作用。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分别用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水皆缥碧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千丈见底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游鱼细石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直视无碍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从正面和侧面来描绘江水的清澈。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水皆缥碧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千丈见底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是静景；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急湍甚箭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猛浪若奔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是动景。动静结合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写出了水静态的清澈和动态的湍急。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目标导学五：整体感悟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体会情感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探究：本文重在写景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直接抒情写志的语言很少。但历来优秀的文章都讲究情景相生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本文表达了作者怎样的思</w:t>
      </w:r>
      <w:r w:rsidRPr="00E61398">
        <w:rPr>
          <w:rFonts w:ascii="Times New Roman" w:hAnsi="Times New Roman" w:cs="Times New Roman" w:hint="eastAsia"/>
        </w:rPr>
        <w:t>想感情？请简要分析。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我们可从作者对景物的描写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及寥寥几句写观感的语句中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领略到作者高雅的志趣、高洁的情怀。我们可以从首段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从流飘荡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任意东西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感受到一种享受自由、无拘无束、无牵无挂的轻松惬意；从对山水的描写中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体会到作者对自然、自由的热爱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对生命力的赞颂。更令人赞赏的是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在描绘山景时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作者插入两句观感：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鸢飞戾天者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望峰息心；经纶世务者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窥谷忘反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。这几句感受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不仅从侧面衬托出险峰幽谷夺人心魄的魅力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更是传达出作者对功名利禄的鄙弃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对官场政务的厌倦。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D34F27" w:rsidRDefault="00D34F27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与朱元思书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奇山异水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天下独绝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异水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清：千丈见底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直视无碍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急：急湍甚箭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猛浪若奔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奇山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所见：高山、寒树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所闻：泉、鸟、蝉、猿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所感：望峰息心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窥谷忘反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鄙弃名利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向往自然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55F6DA0" wp14:editId="48FD69D1">
            <wp:extent cx="1047750" cy="209550"/>
            <wp:effectExtent l="19050" t="0" r="0" b="0"/>
            <wp:docPr id="41" name="图片 41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D34F27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34F27" w:rsidRPr="00E61398" w:rsidRDefault="00D34F27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34F27" w:rsidRPr="00E61398" w:rsidRDefault="00D34F27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书读百遍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其义自见</w:t>
            </w:r>
            <w:r w:rsidRPr="00E61398">
              <w:rPr>
                <w:rFonts w:hAnsi="宋体" w:cs="Times New Roman"/>
              </w:rPr>
              <w:t>”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本教案引导学生以多种形式反复朗读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在朗读中体会文章的意境和作者的思想感情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最后熟读成诵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为疏通文义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理解内容和情感打好了基础。此外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通过对文中美景的品味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让学生学习了本文的写作特色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明白了富春江山水的特征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领略了富春江山水之奇异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更让学生领略到了作者扎实的语言功底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做到了</w:t>
            </w: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美文美读</w:t>
            </w:r>
            <w:r w:rsidRPr="00E61398">
              <w:rPr>
                <w:rFonts w:hAnsi="宋体" w:cs="Times New Roman"/>
              </w:rPr>
              <w:t>”</w:t>
            </w:r>
            <w:r w:rsidRPr="00E61398">
              <w:rPr>
                <w:rFonts w:ascii="Times New Roman" w:hAnsi="Times New Roman" w:cs="Times New Roman"/>
              </w:rPr>
              <w:t>。</w:t>
            </w:r>
          </w:p>
        </w:tc>
      </w:tr>
      <w:tr w:rsidR="00D34F27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34F27" w:rsidRPr="00E61398" w:rsidRDefault="00D34F27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34F27" w:rsidRDefault="00D34F27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在疏通文义方面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强调了学生</w:t>
            </w:r>
            <w:r w:rsidRPr="00E61398">
              <w:rPr>
                <w:rFonts w:ascii="Times New Roman" w:hAnsi="Times New Roman" w:cs="Times New Roman" w:hint="eastAsia"/>
              </w:rPr>
              <w:t>的自主性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这对于培养学生的自主学习能力有一定的帮助。然而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对于基础不牢固的同学而言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难以跟上教学进度。</w:t>
            </w:r>
          </w:p>
        </w:tc>
      </w:tr>
    </w:tbl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34F27" w:rsidRDefault="00D34F27" w:rsidP="00E3726C">
      <w:pPr>
        <w:sectPr w:rsidR="00D34F27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45B70" w:rsidRDefault="00E45B70"/>
    <w:sectPr w:rsidR="00E45B7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4F27"/>
    <w:rsid w:val="00D34F27"/>
    <w:rsid w:val="00E45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34F2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34F2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34F27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34F27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34F2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34F2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34F27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34F27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328</Words>
  <Characters>1870</Characters>
  <Application>Microsoft Office Word</Application>
  <DocSecurity>0</DocSecurity>
  <Lines>15</Lines>
  <Paragraphs>4</Paragraphs>
  <ScaleCrop>false</ScaleCrop>
  <Company/>
  <LinksUpToDate>false</LinksUpToDate>
  <CharactersWithSpaces>2194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