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60F4" w:rsidRDefault="002560F4" w:rsidP="008D114F">
      <w:pPr>
        <w:pStyle w:val="2"/>
      </w:pPr>
      <w:r w:rsidRPr="007B6EEC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岳阳楼记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5852E60" wp14:editId="0150F0D8">
            <wp:extent cx="1050290" cy="217170"/>
            <wp:effectExtent l="19050" t="0" r="0" b="0"/>
            <wp:docPr id="745" name="图片 745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有感情地朗读课文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把握重音及节奏并背诵全文。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赏析精练、生动的语言及精彩语段。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学习文章将叙事、写景、抒情和议论巧妙结合的写法。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深刻理解和正确评价范仲淹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先天下之</w:t>
      </w:r>
      <w:r w:rsidRPr="007B6EEC">
        <w:rPr>
          <w:rFonts w:ascii="Times New Roman" w:hAnsi="Times New Roman" w:cs="Times New Roman" w:hint="eastAsia"/>
        </w:rPr>
        <w:t>忧而忧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后天下之乐而乐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的生活理想和政治抱负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树立正确的人生观。</w:t>
      </w:r>
    </w:p>
    <w:p w:rsidR="002560F4" w:rsidRDefault="002560F4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9344B63" wp14:editId="063CE24C">
            <wp:extent cx="1050290" cy="217170"/>
            <wp:effectExtent l="19050" t="0" r="0" b="0"/>
            <wp:docPr id="746" name="图片 746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F4" w:rsidRDefault="002560F4" w:rsidP="008D114F">
      <w:pPr>
        <w:pStyle w:val="3"/>
      </w:pPr>
      <w:r w:rsidRPr="007B6EEC">
        <w:t>第</w:t>
      </w:r>
      <w:r w:rsidRPr="007B6EEC">
        <w:t>1</w:t>
      </w:r>
      <w:r w:rsidRPr="007B6EEC">
        <w:t>课时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封建时代许多有志的文人士大夫都把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穷则独善其身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达则兼济天下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当作自己的人生信条。他们为官时积极从政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力主改革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为官一方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造福百姓；被贬时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则寄情山水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独善其身。苏轼、柳宗元、范仲淹都是其中的代表。特别是范仲淹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不以物喜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不以己悲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hAnsi="Times New Roman" w:cs="Times New Roman"/>
        </w:rPr>
        <w:t>先天下之忧而忧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后天下之乐而乐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更是</w:t>
      </w:r>
      <w:r w:rsidRPr="007B6EEC">
        <w:rPr>
          <w:rFonts w:ascii="Times New Roman" w:hAnsi="Times New Roman" w:cs="Times New Roman" w:hint="eastAsia"/>
        </w:rPr>
        <w:t>表现出了阔大的胸怀和远大的抱负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成为天下人的楷模。今天我们就来学习他的名篇《岳阳楼记》。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了解写作背景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《岳阳楼记》选自《范仲淹全集》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作者范仲淹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989—1052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字希文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北宋政治家、文学家。他出身贫寒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幼年丧父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对下层人民的痛苦感受极深。</w:t>
      </w:r>
      <w:r w:rsidRPr="007B6EEC">
        <w:rPr>
          <w:rFonts w:ascii="Times New Roman" w:eastAsia="楷体_GB2312" w:hAnsi="Times New Roman" w:cs="Times New Roman"/>
        </w:rPr>
        <w:t>26</w:t>
      </w:r>
      <w:r w:rsidRPr="007B6EEC">
        <w:rPr>
          <w:rFonts w:ascii="Times New Roman" w:eastAsia="楷体_GB2312" w:hAnsi="Times New Roman" w:cs="Times New Roman"/>
        </w:rPr>
        <w:t>岁登进士第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因敢于直言强谏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屡遭贬斥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久不被重用。宝元三年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任陕西经略安抚招讨副</w:t>
      </w:r>
      <w:r w:rsidRPr="007B6EEC">
        <w:rPr>
          <w:rFonts w:ascii="Times New Roman" w:eastAsia="楷体_GB2312" w:hAnsi="Times New Roman" w:cs="Times New Roman" w:hint="eastAsia"/>
        </w:rPr>
        <w:t>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加强对西夏的防御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屡立战功。庆历三年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西夏请和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范仲淹还朝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任参知政事。曾提出十条改革措施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包括限制以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恩荫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为官、选用干练的人员、严格执行政令等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又主张兴修水利。因遭保守派反对罢政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于庆历五年贬放邓州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之后还做过杭州、青州的太守。后在赴颍州任途中病死。谥号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文正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世称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范文正公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有《范文正公集》传世。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写作背景：</w:t>
      </w:r>
      <w:r w:rsidRPr="007B6EEC">
        <w:rPr>
          <w:rFonts w:ascii="Times New Roman" w:eastAsia="楷体_GB2312" w:hAnsi="Times New Roman" w:cs="Times New Roman"/>
        </w:rPr>
        <w:t>《岳阳楼记》是范仲淹被罢去参知政事一职而贬官河南邓州时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应好友滕子京之请而作。滕子京请范仲淹为重修岳阳楼写记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并送去一幅《洞庭晚秋图》。范仲</w:t>
      </w:r>
      <w:r w:rsidRPr="007B6EEC">
        <w:rPr>
          <w:rFonts w:ascii="Times New Roman" w:eastAsia="楷体_GB2312" w:hAnsi="Times New Roman" w:cs="Times New Roman" w:hint="eastAsia"/>
        </w:rPr>
        <w:t>淹依据此图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凭着丰富的想象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写下了千古名篇《岳阳楼记》。滕子京与范仲淹同年举进士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因才华出众但豪迈自负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被权贵所嫉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贬谪到岳州做太守。范仲淹熟知他的思想和性格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想劝慰他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却一直无机会。适逢滕子京重修岳阳楼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请范仲淹代笔记胜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这就给了范仲淹一个规箴知己的好机会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因自己在贬中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亦有抒发自己理想的需要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于是范仲淹就写下了这篇抒发自己胸襟、规劝朋友的千古名篇。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岳阳楼：</w:t>
      </w:r>
      <w:r w:rsidRPr="007B6EEC">
        <w:rPr>
          <w:rFonts w:ascii="Times New Roman" w:eastAsia="楷体_GB2312" w:hAnsi="Times New Roman" w:cs="Times New Roman"/>
        </w:rPr>
        <w:t>在湖南省岳阳市巴丘山下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原来是三国时期吴国都督鲁肃的阅兵台。唐朝张说在阅兵台旧址建造楼阁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取名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岳阳楼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常</w:t>
      </w:r>
      <w:r w:rsidRPr="007B6EEC">
        <w:rPr>
          <w:rFonts w:ascii="Times New Roman" w:eastAsia="楷体_GB2312" w:hAnsi="Times New Roman" w:cs="Times New Roman" w:hint="eastAsia"/>
        </w:rPr>
        <w:t>与文人雅客登楼赋诗。后李白、杜甫、白居易、李商隐、刘禹锡、孟浩然等诗人相继登楼吟咏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岳阳楼声名益大。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目标导学二：梳理文言字词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疏通文义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请根据课文注释疏通文义。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积累文章中常见的文言现象。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【一词多义】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和：政通人</w:t>
      </w:r>
      <w:r w:rsidRPr="007B6EEC">
        <w:rPr>
          <w:rFonts w:ascii="Times New Roman" w:hAnsi="Times New Roman" w:cs="Times New Roman"/>
          <w:em w:val="underDot"/>
        </w:rPr>
        <w:t>和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和乐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　　</w:t>
      </w:r>
      <w:r w:rsidRPr="007B6EEC">
        <w:rPr>
          <w:rFonts w:ascii="Times New Roman" w:hAnsi="Times New Roman" w:cs="Times New Roman"/>
        </w:rPr>
        <w:t>至若春</w:t>
      </w:r>
      <w:r w:rsidRPr="007B6EEC">
        <w:rPr>
          <w:rFonts w:ascii="Times New Roman" w:hAnsi="Times New Roman" w:cs="Times New Roman"/>
          <w:em w:val="underDot"/>
        </w:rPr>
        <w:t>和</w:t>
      </w:r>
      <w:r w:rsidRPr="007B6EEC">
        <w:rPr>
          <w:rFonts w:ascii="Times New Roman" w:hAnsi="Times New Roman" w:cs="Times New Roman"/>
        </w:rPr>
        <w:t>景明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和煦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通：政</w:t>
      </w:r>
      <w:r w:rsidRPr="007B6EEC">
        <w:rPr>
          <w:rFonts w:ascii="Times New Roman" w:hAnsi="Times New Roman" w:cs="Times New Roman"/>
          <w:em w:val="underDot"/>
        </w:rPr>
        <w:t>通</w:t>
      </w:r>
      <w:r w:rsidRPr="007B6EEC">
        <w:rPr>
          <w:rFonts w:ascii="Times New Roman" w:hAnsi="Times New Roman" w:cs="Times New Roman"/>
        </w:rPr>
        <w:t>人和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顺利</w:t>
      </w:r>
      <w:r>
        <w:rPr>
          <w:rFonts w:ascii="Times New Roman" w:hAnsi="Times New Roman" w:cs="Times New Roman"/>
        </w:rPr>
        <w:t xml:space="preserve">)  </w:t>
      </w:r>
      <w:r w:rsidRPr="007B6EEC">
        <w:rPr>
          <w:rFonts w:ascii="Times New Roman" w:hAnsi="Times New Roman" w:cs="Times New Roman"/>
        </w:rPr>
        <w:t>北</w:t>
      </w:r>
      <w:r w:rsidRPr="007B6EEC">
        <w:rPr>
          <w:rFonts w:ascii="Times New Roman" w:hAnsi="Times New Roman" w:cs="Times New Roman"/>
          <w:em w:val="underDot"/>
        </w:rPr>
        <w:t>通</w:t>
      </w:r>
      <w:r w:rsidRPr="007B6EEC">
        <w:rPr>
          <w:rFonts w:ascii="Times New Roman" w:hAnsi="Times New Roman" w:cs="Times New Roman"/>
        </w:rPr>
        <w:t>巫峡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通向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观：予</w:t>
      </w:r>
      <w:r w:rsidRPr="007B6EEC">
        <w:rPr>
          <w:rFonts w:ascii="Times New Roman" w:hAnsi="Times New Roman" w:cs="Times New Roman"/>
          <w:em w:val="underDot"/>
        </w:rPr>
        <w:t>观</w:t>
      </w:r>
      <w:r w:rsidRPr="007B6EEC">
        <w:rPr>
          <w:rFonts w:ascii="Times New Roman" w:hAnsi="Times New Roman" w:cs="Times New Roman"/>
        </w:rPr>
        <w:t>夫巴陵胜状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看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此则岳阳楼之大</w:t>
      </w:r>
      <w:r w:rsidRPr="007B6EEC">
        <w:rPr>
          <w:rFonts w:ascii="Times New Roman" w:hAnsi="Times New Roman" w:cs="Times New Roman"/>
          <w:em w:val="underDot"/>
        </w:rPr>
        <w:t>观</w:t>
      </w:r>
      <w:r w:rsidRPr="007B6EEC">
        <w:rPr>
          <w:rFonts w:ascii="Times New Roman" w:hAnsi="Times New Roman" w:cs="Times New Roman"/>
        </w:rPr>
        <w:t>也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景象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空：浊浪排</w:t>
      </w:r>
      <w:r w:rsidRPr="007B6EEC">
        <w:rPr>
          <w:rFonts w:ascii="Times New Roman" w:hAnsi="Times New Roman" w:cs="Times New Roman"/>
          <w:em w:val="underDot"/>
        </w:rPr>
        <w:t>空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天空</w:t>
      </w:r>
      <w:r>
        <w:rPr>
          <w:rFonts w:ascii="Times New Roman" w:hAnsi="Times New Roman" w:cs="Times New Roman"/>
        </w:rPr>
        <w:t xml:space="preserve">)  </w:t>
      </w:r>
      <w:r w:rsidRPr="007B6EEC">
        <w:rPr>
          <w:rFonts w:ascii="Times New Roman" w:hAnsi="Times New Roman" w:cs="Times New Roman"/>
        </w:rPr>
        <w:t>长烟一</w:t>
      </w:r>
      <w:r w:rsidRPr="007B6EEC">
        <w:rPr>
          <w:rFonts w:ascii="Times New Roman" w:hAnsi="Times New Roman" w:cs="Times New Roman"/>
          <w:em w:val="underDot"/>
        </w:rPr>
        <w:t>空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消散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一：</w:t>
      </w:r>
      <w:r w:rsidRPr="007B6EEC">
        <w:rPr>
          <w:rFonts w:ascii="Times New Roman" w:hAnsi="Times New Roman" w:cs="Times New Roman"/>
          <w:em w:val="underDot"/>
        </w:rPr>
        <w:t>一</w:t>
      </w:r>
      <w:r w:rsidRPr="007B6EEC">
        <w:rPr>
          <w:rFonts w:ascii="Times New Roman" w:hAnsi="Times New Roman" w:cs="Times New Roman"/>
        </w:rPr>
        <w:t>碧万顷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数词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一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)  </w:t>
      </w:r>
      <w:r w:rsidRPr="007B6EEC">
        <w:rPr>
          <w:rFonts w:ascii="Times New Roman" w:hAnsi="Times New Roman" w:cs="Times New Roman"/>
        </w:rPr>
        <w:t>长烟</w:t>
      </w:r>
      <w:r w:rsidRPr="007B6EEC">
        <w:rPr>
          <w:rFonts w:ascii="Times New Roman" w:hAnsi="Times New Roman" w:cs="Times New Roman"/>
          <w:em w:val="underDot"/>
        </w:rPr>
        <w:t>一</w:t>
      </w:r>
      <w:r w:rsidRPr="007B6EEC">
        <w:rPr>
          <w:rFonts w:ascii="Times New Roman" w:hAnsi="Times New Roman" w:cs="Times New Roman"/>
        </w:rPr>
        <w:t>空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全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极：南</w:t>
      </w:r>
      <w:r w:rsidRPr="007B6EEC">
        <w:rPr>
          <w:rFonts w:ascii="Times New Roman" w:hAnsi="Times New Roman" w:cs="Times New Roman"/>
          <w:em w:val="underDot"/>
        </w:rPr>
        <w:t>极</w:t>
      </w:r>
      <w:r w:rsidRPr="007B6EEC">
        <w:rPr>
          <w:rFonts w:ascii="Times New Roman" w:hAnsi="Times New Roman" w:cs="Times New Roman"/>
        </w:rPr>
        <w:t>潇湘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至、到达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此乐何</w:t>
      </w:r>
      <w:r w:rsidRPr="007B6EEC">
        <w:rPr>
          <w:rFonts w:ascii="Times New Roman" w:hAnsi="Times New Roman" w:cs="Times New Roman"/>
          <w:em w:val="underDot"/>
        </w:rPr>
        <w:t>极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尽头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以：属予作文</w:t>
      </w:r>
      <w:r w:rsidRPr="007B6EEC">
        <w:rPr>
          <w:rFonts w:ascii="Times New Roman" w:hAnsi="Times New Roman" w:cs="Times New Roman"/>
          <w:em w:val="underDot"/>
        </w:rPr>
        <w:t>以</w:t>
      </w:r>
      <w:r w:rsidRPr="007B6EEC">
        <w:rPr>
          <w:rFonts w:ascii="Times New Roman" w:hAnsi="Times New Roman" w:cs="Times New Roman"/>
        </w:rPr>
        <w:t>记之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来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不</w:t>
      </w:r>
      <w:r w:rsidRPr="007B6EEC">
        <w:rPr>
          <w:rFonts w:ascii="Times New Roman" w:hAnsi="Times New Roman" w:cs="Times New Roman"/>
          <w:em w:val="underDot"/>
        </w:rPr>
        <w:t>以</w:t>
      </w:r>
      <w:r w:rsidRPr="007B6EEC">
        <w:rPr>
          <w:rFonts w:ascii="Times New Roman" w:hAnsi="Times New Roman" w:cs="Times New Roman"/>
        </w:rPr>
        <w:t>物喜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不以己悲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因为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或：而</w:t>
      </w:r>
      <w:r w:rsidRPr="007B6EEC">
        <w:rPr>
          <w:rFonts w:ascii="Times New Roman" w:hAnsi="Times New Roman" w:cs="Times New Roman"/>
          <w:em w:val="underDot"/>
        </w:rPr>
        <w:t>或</w:t>
      </w:r>
      <w:r w:rsidRPr="007B6EEC">
        <w:rPr>
          <w:rFonts w:ascii="Times New Roman" w:hAnsi="Times New Roman" w:cs="Times New Roman"/>
        </w:rPr>
        <w:t>长烟一空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有时候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  <w:em w:val="underDot"/>
        </w:rPr>
        <w:t>或</w:t>
      </w:r>
      <w:r w:rsidRPr="007B6EEC">
        <w:rPr>
          <w:rFonts w:ascii="Times New Roman" w:hAnsi="Times New Roman" w:cs="Times New Roman"/>
        </w:rPr>
        <w:t>异二者之为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或许、也许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表示委婉的语气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【通假字】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百废</w:t>
      </w:r>
      <w:r w:rsidRPr="007B6EEC">
        <w:rPr>
          <w:rFonts w:ascii="Times New Roman" w:hAnsi="Times New Roman" w:cs="Times New Roman"/>
          <w:em w:val="underDot"/>
        </w:rPr>
        <w:t>具</w:t>
      </w:r>
      <w:r w:rsidRPr="007B6EEC">
        <w:rPr>
          <w:rFonts w:ascii="Times New Roman" w:hAnsi="Times New Roman" w:cs="Times New Roman"/>
        </w:rPr>
        <w:t>兴</w:t>
      </w:r>
      <w:r>
        <w:rPr>
          <w:rFonts w:ascii="Times New Roman" w:hAnsi="Times New Roman" w:cs="Times New Roman"/>
        </w:rPr>
        <w:t>(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具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俱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全、皆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  <w:em w:val="underDot"/>
        </w:rPr>
        <w:t>属</w:t>
      </w:r>
      <w:r w:rsidRPr="007B6EEC">
        <w:rPr>
          <w:rFonts w:ascii="Times New Roman" w:hAnsi="Times New Roman" w:cs="Times New Roman"/>
        </w:rPr>
        <w:t>予作文以记之</w:t>
      </w:r>
      <w:r>
        <w:rPr>
          <w:rFonts w:ascii="Times New Roman" w:hAnsi="Times New Roman" w:cs="Times New Roman"/>
        </w:rPr>
        <w:t>(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属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嘱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嘱咐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【词类活用】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庆历四年春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滕子京谪</w:t>
      </w:r>
      <w:r w:rsidRPr="007B6EEC">
        <w:rPr>
          <w:rFonts w:ascii="Times New Roman" w:hAnsi="Times New Roman" w:cs="Times New Roman"/>
          <w:em w:val="underDot"/>
        </w:rPr>
        <w:t>守</w:t>
      </w:r>
      <w:r w:rsidRPr="007B6EEC">
        <w:rPr>
          <w:rFonts w:ascii="Times New Roman" w:hAnsi="Times New Roman" w:cs="Times New Roman"/>
        </w:rPr>
        <w:t>巴陵郡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守：名词作动词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做</w:t>
      </w:r>
      <w:r w:rsidRPr="007B6EEC">
        <w:rPr>
          <w:rFonts w:hAnsi="宋体" w:cs="Times New Roman"/>
        </w:rPr>
        <w:t>……</w:t>
      </w:r>
      <w:r w:rsidRPr="007B6EEC">
        <w:rPr>
          <w:rFonts w:ascii="Times New Roman" w:hAnsi="Times New Roman" w:cs="Times New Roman"/>
        </w:rPr>
        <w:t>太守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  <w:em w:val="underDot"/>
        </w:rPr>
        <w:t>先</w:t>
      </w:r>
      <w:r w:rsidRPr="007B6EEC">
        <w:rPr>
          <w:rFonts w:ascii="Times New Roman" w:hAnsi="Times New Roman" w:cs="Times New Roman"/>
        </w:rPr>
        <w:t>天下之忧而忧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  <w:em w:val="underDot"/>
        </w:rPr>
        <w:t>后</w:t>
      </w:r>
      <w:r w:rsidRPr="007B6EEC">
        <w:rPr>
          <w:rFonts w:ascii="Times New Roman" w:hAnsi="Times New Roman" w:cs="Times New Roman"/>
        </w:rPr>
        <w:t>天下之乐而乐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先</w:t>
      </w:r>
      <w:r w:rsidRPr="007B6EEC">
        <w:rPr>
          <w:rFonts w:ascii="Times New Roman" w:hAnsi="Times New Roman" w:cs="Times New Roman" w:hint="eastAsia"/>
        </w:rPr>
        <w:t>：形容词作状语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</w:t>
      </w:r>
      <w:r w:rsidRPr="007B6EEC">
        <w:rPr>
          <w:rFonts w:hAnsi="宋体" w:cs="Times New Roman" w:hint="eastAsia"/>
        </w:rPr>
        <w:t>……</w:t>
      </w:r>
      <w:r w:rsidRPr="007B6EEC">
        <w:rPr>
          <w:rFonts w:ascii="Times New Roman" w:hAnsi="Times New Roman" w:cs="Times New Roman" w:hint="eastAsia"/>
        </w:rPr>
        <w:t>之前。后：形容词作状语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</w:t>
      </w:r>
      <w:r w:rsidRPr="007B6EEC">
        <w:rPr>
          <w:rFonts w:hAnsi="宋体" w:cs="Times New Roman" w:hint="eastAsia"/>
        </w:rPr>
        <w:t>……</w:t>
      </w:r>
      <w:r w:rsidRPr="007B6EEC">
        <w:rPr>
          <w:rFonts w:ascii="Times New Roman" w:hAnsi="Times New Roman" w:cs="Times New Roman" w:hint="eastAsia"/>
        </w:rPr>
        <w:t>之后</w:t>
      </w:r>
      <w:r>
        <w:rPr>
          <w:rFonts w:ascii="Times New Roman" w:hAnsi="Times New Roman" w:cs="Times New Roman" w:hint="eastAsia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【古今异义】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  <w:em w:val="underDot"/>
        </w:rPr>
        <w:t>气象</w:t>
      </w:r>
      <w:r w:rsidRPr="007B6EEC">
        <w:rPr>
          <w:rFonts w:ascii="Times New Roman" w:hAnsi="Times New Roman" w:cs="Times New Roman"/>
        </w:rPr>
        <w:t>万千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古义：景象。今义：大气的状态和现象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  <w:em w:val="underDot"/>
        </w:rPr>
        <w:t>微</w:t>
      </w:r>
      <w:r w:rsidRPr="007B6EEC">
        <w:rPr>
          <w:rFonts w:ascii="Times New Roman" w:hAnsi="Times New Roman" w:cs="Times New Roman"/>
        </w:rPr>
        <w:t>斯人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古义：如果没有。今义：细小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【特殊句式】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刻唐贤今人诗赋于其上。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状语后置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衔远山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吞长江</w:t>
      </w:r>
      <w:r w:rsidRPr="007B6EEC"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省略句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迁客骚人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多会于此。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状语后置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居庙堂之高则忧其民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处江湖之远则忧其君。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定语后置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吾谁与归？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宾语前置</w:t>
      </w:r>
      <w:r>
        <w:rPr>
          <w:rFonts w:ascii="Times New Roman" w:hAnsi="Times New Roman" w:cs="Times New Roman"/>
        </w:rPr>
        <w:t>)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目标导学三：朗读课文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整体感知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尝试划分朗读节奏。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以第二段为例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标示节奏：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予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观夫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巴陵胜状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洞庭一湖。衔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远山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吞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长江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浩浩汤汤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横无际涯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朝晖夕阴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气象万千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此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则岳阳楼之大观也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前人之述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备矣。然则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北通巫峡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南极潇湘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迁客骚人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多会于此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览物之情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得无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异乎？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概述文言文节奏划分：</w:t>
      </w:r>
      <w:r w:rsidRPr="007B6EEC">
        <w:rPr>
          <w:rFonts w:hAnsi="宋体" w:cs="Times New Roman"/>
        </w:rPr>
        <w:t>①</w:t>
      </w:r>
      <w:r w:rsidRPr="007B6EEC">
        <w:rPr>
          <w:rFonts w:ascii="Times New Roman" w:hAnsi="Times New Roman" w:cs="Times New Roman"/>
        </w:rPr>
        <w:t>句首发语词、关联词语后面要有停顿。</w:t>
      </w:r>
      <w:r w:rsidRPr="007B6EEC">
        <w:rPr>
          <w:rFonts w:hAnsi="宋体" w:cs="Times New Roman"/>
        </w:rPr>
        <w:t>②</w:t>
      </w:r>
      <w:r w:rsidRPr="007B6EEC">
        <w:rPr>
          <w:rFonts w:ascii="Times New Roman" w:hAnsi="Times New Roman" w:cs="Times New Roman"/>
        </w:rPr>
        <w:t>文言文中连在一起的两个单音节词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朗读时须停顿分开。</w:t>
      </w:r>
      <w:r w:rsidRPr="007B6EEC">
        <w:rPr>
          <w:rFonts w:hAnsi="宋体" w:cs="Times New Roman"/>
        </w:rPr>
        <w:t>③</w:t>
      </w:r>
      <w:r w:rsidRPr="007B6EEC">
        <w:rPr>
          <w:rFonts w:ascii="Times New Roman" w:hAnsi="Times New Roman" w:cs="Times New Roman"/>
        </w:rPr>
        <w:t>主语和谓语之间应停顿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动词与所带宾语、补语之间应停顿。</w:t>
      </w:r>
      <w:r w:rsidRPr="007B6EEC">
        <w:rPr>
          <w:rFonts w:hAnsi="宋体" w:cs="Times New Roman"/>
        </w:rPr>
        <w:t>④</w:t>
      </w:r>
      <w:r w:rsidRPr="007B6EEC">
        <w:rPr>
          <w:rFonts w:ascii="Times New Roman" w:hAnsi="Times New Roman" w:cs="Times New Roman"/>
        </w:rPr>
        <w:t>朗读停顿要体现出省略成分。总之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要正确划分朗读节奏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就必须以准确理解文句的意思为前提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再根据朗读停顿的规律综合分析判断。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书读百遍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其义自见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反复有感情地朗读文章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以达到理解文意的目的。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整体感知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划分文章结构。</w:t>
      </w:r>
    </w:p>
    <w:p w:rsidR="002560F4" w:rsidRDefault="002560F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全文共</w:t>
      </w:r>
      <w:r w:rsidRPr="007B6EEC">
        <w:rPr>
          <w:rFonts w:ascii="Times New Roman" w:eastAsia="楷体_GB2312" w:hAnsi="Times New Roman" w:cs="Times New Roman"/>
        </w:rPr>
        <w:t>5</w:t>
      </w:r>
      <w:r w:rsidRPr="007B6EEC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分为</w:t>
      </w:r>
      <w:r w:rsidRPr="007B6EEC">
        <w:rPr>
          <w:rFonts w:ascii="Times New Roman" w:eastAsia="楷体_GB2312" w:hAnsi="Times New Roman" w:cs="Times New Roman" w:hint="eastAsia"/>
        </w:rPr>
        <w:t>三部分。</w:t>
      </w:r>
    </w:p>
    <w:p w:rsidR="002560F4" w:rsidRDefault="002560F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第一部分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：写重修岳阳楼的背景和作记缘由。</w:t>
      </w:r>
    </w:p>
    <w:p w:rsidR="002560F4" w:rsidRDefault="002560F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2—4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：描写岳阳楼周围的景色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迁客骚人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登楼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览物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而产生的两种不同感受。该部分可分为两层：</w:t>
      </w:r>
    </w:p>
    <w:p w:rsidR="002560F4" w:rsidRDefault="002560F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第一层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：写洞庭湖的景色并提出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迁客骚人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览物之情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得无异乎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的问题。</w:t>
      </w:r>
    </w:p>
    <w:p w:rsidR="002560F4" w:rsidRDefault="002560F4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3—4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：写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迁客骚人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览物之情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因景而异。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：借对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古仁人之心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的探求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抒发作者的旷达胸襟和政治抱负。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560F4" w:rsidRDefault="002560F4" w:rsidP="008D114F">
      <w:pPr>
        <w:pStyle w:val="3"/>
      </w:pPr>
      <w:r w:rsidRPr="007B6EEC">
        <w:t>第</w:t>
      </w:r>
      <w:r w:rsidRPr="007B6EEC">
        <w:t>2</w:t>
      </w:r>
      <w:r w:rsidRPr="007B6EEC">
        <w:t>课时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一、教学新课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目标导学一：精读全文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把握文章主旨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文章第一段写重修岳阳楼的背景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这背景是什么？说明了什么？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政通人和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百废具兴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的基础上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重修岳阳楼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这说明滕子京在谪守的逆境中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仍不以己悲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把政事治理得井井有条。由此可见作者欣赏他的阔大胸怀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与一般的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不同。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予观夫巴陵胜状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在洞庭一湖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作者写出了从岳阳</w:t>
      </w:r>
      <w:r w:rsidRPr="007B6EEC">
        <w:rPr>
          <w:rFonts w:ascii="Times New Roman" w:hAnsi="Times New Roman" w:cs="Times New Roman" w:hint="eastAsia"/>
        </w:rPr>
        <w:t>楼看洞庭湖的哪些特点？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气势非凡：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衔远山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吞长江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宽阔无边：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浩浩汤汤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横无际涯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；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湖光山色：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朝晖夕阴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气象万千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作者为什么忽然写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前人之述备矣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从写景中跳出来写人？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前人之述备矣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一句承前启后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并回应前文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唐贤今人诗赋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一语。这句话既是谦虚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也暗含转机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经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然则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一转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引出新的意境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由单纯写景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到以情景交融的笔法来写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迁客骚人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览物之情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从而引出全文的主体。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第三段描写了怎样一幅画面？这幅画面渲染了一种怎样的气氛？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淫雨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阴风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浊浪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为主景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写就了一幅日星无光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山岳潜形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也使商旅不前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并且从暮色沉沉、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虎啸猿啼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之际的画面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渲染出极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悲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的气氛。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第四段描写了怎样一幅画面？这幅画面渲染了一种怎样的气氛？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作者绘出春风和畅、景色明丽、水天一碧的良辰美景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更有鸥鸟在自由翱翔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鱼儿在欢快游荡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连无知的水草兰花也充满活力的画面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渲染出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喜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的气氛。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作者用哪些语句概括说明了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迁客骚人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悲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喜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？这样写的目的是什么？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去国怀乡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忧谗畏讥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概括说明了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迁客骚人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悲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；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心旷神怡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宠辱偕忘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概括说明了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迁客骚人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喜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。这样写是为了将这类人的悲喜感情跟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古仁人之心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做对比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引出下文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由写情自然转入议论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突出全文的主旨。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探究一：本文最后一段是文章的核心段落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请你说说拥有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古仁人之心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的人应该拥有怎样的悲喜态度及忧乐</w:t>
      </w:r>
      <w:r w:rsidRPr="007B6EEC">
        <w:rPr>
          <w:rFonts w:ascii="Times New Roman" w:hAnsi="Times New Roman" w:cs="Times New Roman" w:hint="eastAsia"/>
        </w:rPr>
        <w:t>观。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拥有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古仁人之心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的人的悲喜态度是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不以物喜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不以己悲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则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居庙堂之高则忧其民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处江湖之远则忧其君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先天下之忧而忧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；在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后天下之乐而乐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探究二：作者在文中说道</w:t>
      </w:r>
      <w:r>
        <w:rPr>
          <w:rFonts w:ascii="Times New Roman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是进亦忧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退亦忧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进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指什么？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退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指什么？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讨论并归纳：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进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居庙堂之高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在朝廷做官；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退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处江湖之远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在偏远地区做地方官。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探究三：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微斯人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斯人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指什么人？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讨论并归纳：</w:t>
      </w:r>
      <w:r w:rsidRPr="007B6EEC">
        <w:rPr>
          <w:rFonts w:ascii="Times New Roman" w:eastAsia="楷体_GB2312" w:hAnsi="Times New Roman" w:cs="Times New Roman"/>
        </w:rPr>
        <w:t>指古仁人和有古仁人之心的人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也暗指滕子京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表示对滕子京的劝勉和规箴之意。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目标导学二：探究与赏析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把握本文艺术特征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范仲淹没有真的到过岳阳楼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只是借滕子京送来的一幅画便创出如此名篇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倘若范仲淹真去了岳阳楼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是否还能创作出如此佳作呢？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观点一：能创造出来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因为作者心怀天下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先天下之忧而忧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后天下之乐而乐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若范仲淹见过岳阳楼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仍旧能创出此类脍炙人口之</w:t>
      </w:r>
      <w:r w:rsidRPr="007B6EEC">
        <w:rPr>
          <w:rFonts w:ascii="Times New Roman" w:eastAsia="楷体_GB2312" w:hAnsi="Times New Roman" w:cs="Times New Roman" w:hint="eastAsia"/>
        </w:rPr>
        <w:t>佳作。观点二：岳阳楼之大观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前人已经说尽了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再重复那些老话便没有意思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这才让范仲淹采取了换一个新的角度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找一个新的题目的做法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另说他的一套。但见过岳阳楼风景之人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难免为其美景所震撼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反而写不出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古仁人之心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的文章也未好说。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有人认为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这篇文章是一篇独到的议论文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你如何看待这个观点？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从全文的结构来看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本文第一段为叙述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第二、三、四段为写景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最后一段发表议论。记事简明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写景铺张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抒情真切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议论精辟。记事、写景、抒情和议论交融在一篇</w:t>
      </w:r>
      <w:r w:rsidRPr="007B6EEC">
        <w:rPr>
          <w:rFonts w:ascii="Times New Roman" w:eastAsia="楷体_GB2312" w:hAnsi="Times New Roman" w:cs="Times New Roman" w:hint="eastAsia"/>
        </w:rPr>
        <w:t>文章中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议论的部分字数不多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但有统率全文的作用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所以可以说这是一篇独到的议论文。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你一定在朗读的过程中感到文章读来朗朗上口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除了抒情真切外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是否还有其他原因造成这个结果呢？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也因为本文的语言很有特色。它虽然是一篇散文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却穿插了许多四言的对偶句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日星隐曜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山岳潜形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沙鸥翔集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锦鳞游泳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长烟一空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皓月千里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浮光跃金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静影沉璧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。这些骈句为文章增添了色彩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同时也增加了朗读的流畅度。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二、板书设计</w:t>
      </w:r>
    </w:p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岳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阳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楼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记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叙述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作记缘由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描写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抒情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景物</w:instrText>
      </w:r>
      <w:r w:rsidRPr="007B6EEC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概述外景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引起下文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览物之情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得无异乎</w:instrText>
      </w:r>
      <w:r w:rsidRPr="007B6EEC">
        <w:rPr>
          <w:rFonts w:ascii="Times New Roman" w:hAnsi="Times New Roman" w:cs="Times New Roman"/>
        </w:rPr>
        <w:instrText>,,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迁客骚人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登楼有感</w:instrText>
      </w:r>
      <w:r w:rsidRPr="007B6EEC">
        <w:rPr>
          <w:rFonts w:ascii="Times New Roman" w:hAnsi="Times New Roman" w:cs="Times New Roman"/>
        </w:rPr>
        <w:instrText>)\b\lc\{(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淫雨霏霏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感极而悲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春和景明</w:instrText>
      </w:r>
      <w:r>
        <w:rPr>
          <w:rFonts w:ascii="Times New Roman" w:hAnsi="Times New Roman" w:cs="Times New Roman"/>
        </w:rPr>
        <w:instrText>，</w:instrText>
      </w:r>
      <w:r w:rsidRPr="007B6EEC">
        <w:rPr>
          <w:rFonts w:ascii="Times New Roman" w:hAnsi="Times New Roman" w:cs="Times New Roman"/>
        </w:rPr>
        <w:instrText>喜气洋洋</w:instrText>
      </w:r>
      <w:r w:rsidRPr="007B6EEC">
        <w:rPr>
          <w:rFonts w:ascii="Times New Roman" w:hAnsi="Times New Roman" w:cs="Times New Roman"/>
        </w:rPr>
        <w:instrText>)))),,</w:instrText>
      </w:r>
      <w:r w:rsidRPr="007B6EEC">
        <w:rPr>
          <w:rFonts w:ascii="Times New Roman" w:hAnsi="Times New Roman" w:cs="Times New Roman"/>
        </w:rPr>
        <w:instrText>议论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先天下之忧而忧</w:instrText>
      </w:r>
      <w:r w:rsidRPr="007B6EEC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</w:instrText>
      </w:r>
      <w:r w:rsidRPr="007B6EEC">
        <w:rPr>
          <w:rFonts w:ascii="Times New Roman" w:hAnsi="Times New Roman" w:cs="Times New Roman"/>
        </w:rPr>
        <w:instrText>后天下之乐而乐</w:instrText>
      </w:r>
      <w:r w:rsidRPr="007B6EEC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8C2279B" wp14:editId="7B764B05">
            <wp:extent cx="1050290" cy="217170"/>
            <wp:effectExtent l="19050" t="0" r="0" b="0"/>
            <wp:docPr id="747" name="图片 747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2560F4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2560F4" w:rsidRPr="007B6EEC" w:rsidRDefault="002560F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2560F4" w:rsidRPr="007B6EEC" w:rsidRDefault="002560F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朗读文章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解读文章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欣赏文章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分三部分学习本文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能让学生深入了解文本的语言特色及深刻内涵。</w:t>
            </w:r>
          </w:p>
        </w:tc>
      </w:tr>
      <w:tr w:rsidR="002560F4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2560F4" w:rsidRPr="007B6EEC" w:rsidRDefault="002560F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2560F4" w:rsidRDefault="002560F4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重点放在文章内容理解上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少有对文本字词的关注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这对学习能力比较差的学生不利。</w:t>
            </w:r>
          </w:p>
        </w:tc>
      </w:tr>
    </w:tbl>
    <w:p w:rsidR="002560F4" w:rsidRDefault="002560F4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560F4" w:rsidRDefault="002560F4" w:rsidP="000C19EA">
      <w:pPr>
        <w:sectPr w:rsidR="002560F4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805491" w:rsidRDefault="00805491"/>
    <w:sectPr w:rsidR="008054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60F4"/>
    <w:rsid w:val="002560F4"/>
    <w:rsid w:val="00805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2560F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2560F4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2560F4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2560F4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2560F4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560F4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2560F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2560F4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2560F4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2560F4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2560F4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560F4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615</Words>
  <Characters>3511</Characters>
  <DocSecurity>0</DocSecurity>
  <Lines>29</Lines>
  <Paragraphs>8</Paragraphs>
  <ScaleCrop>false</ScaleCrop>
  <Company/>
  <LinksUpToDate>false</LinksUpToDate>
  <CharactersWithSpaces>4118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