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7B47" w:rsidRDefault="00D17B47" w:rsidP="008D114F">
      <w:pPr>
        <w:pStyle w:val="2"/>
      </w:pPr>
      <w:r w:rsidRPr="007B6EEC">
        <w:rPr>
          <w:rFonts w:ascii="Times New Roman" w:hAnsi="Times New Roman" w:cs="Times New Roman"/>
        </w:rPr>
        <w:t>23</w:t>
      </w:r>
      <w:r>
        <w:rPr>
          <w:rFonts w:ascii="Times New Roman" w:hAnsi="Times New Roman" w:cs="Times New Roman"/>
        </w:rPr>
        <w:t xml:space="preserve">　</w:t>
      </w:r>
      <w:r w:rsidRPr="007B6EEC">
        <w:rPr>
          <w:rFonts w:ascii="Times New Roman" w:hAnsi="Times New Roman" w:cs="Times New Roman"/>
        </w:rPr>
        <w:t>三顾茅</w:t>
      </w:r>
      <w:r w:rsidRPr="007B6EEC">
        <w:rPr>
          <w:rFonts w:ascii="Times New Roman" w:hAnsi="Times New Roman" w:cs="Times New Roman" w:hint="eastAsia"/>
        </w:rPr>
        <w:t>庐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1AF59459" wp14:editId="5A48D440">
            <wp:extent cx="1050290" cy="217170"/>
            <wp:effectExtent l="19050" t="0" r="0" b="0"/>
            <wp:docPr id="803" name="图片 803" descr="\\c3\本地磁盘 (D)\帮忙做的\18秋·学·人九语教案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3" descr="\\c3\本地磁盘 (D)\帮忙做的\18秋·学·人九语教案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梳理文章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理清文脉结构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体会情节的一波三折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品味精练畅达的语言。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学会抓文章塑造人物的关键语句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分析人物形象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把握人物性格特征。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感受刘备的贤明与诸葛亮的智慧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学习古人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以天下为己任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的精神。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了解罗贯中与《三国演义》相关文学常识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感受中国古典小说的丰富底蕴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培养阅读中国古典小说的兴趣。</w:t>
      </w:r>
    </w:p>
    <w:p w:rsidR="00D17B47" w:rsidRDefault="00D17B47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370384C0" wp14:editId="1D088A00">
            <wp:extent cx="1050290" cy="217170"/>
            <wp:effectExtent l="19050" t="0" r="0" b="0"/>
            <wp:docPr id="804" name="图片 804" descr="\\c3\本地磁盘 (D)\帮忙做的\18秋·学·人九语教案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4" descr="\\c3\本地磁盘 (D)\帮忙做的\18秋·学·人九语教案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一、导入新课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播放《三顾茅庐》视频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刚刚所播放的小视频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正是三国时期著名的故事</w:t>
      </w:r>
      <w:r w:rsidRPr="007B6EEC">
        <w:rPr>
          <w:rFonts w:ascii="Times New Roman" w:hAnsi="Times New Roman" w:cs="Times New Roman"/>
        </w:rPr>
        <w:t>——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三顾茅庐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。刘皇叔三顾茅庐请诸葛亮出山相助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经千年传唱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已成佳话。然而古来君主礼贤下士的例子并不少见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为何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三顾茅庐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成为其中最令人熟知的故事？这其中有什么秘密呢？想要深入了解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请同学们走进今天的课文。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三顾茅庐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的故事为何久传不衰？点出此问题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引导学生积极关注该故事的来龙去脉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关注古典小说《三国演义》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引起学生的学习兴趣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同时培养学生的探究性思维。</w:t>
      </w:r>
      <w:r>
        <w:rPr>
          <w:rFonts w:ascii="Times New Roman" w:hAnsi="Times New Roman" w:cs="Times New Roman"/>
        </w:rPr>
        <w:t>(</w:t>
      </w:r>
      <w:r w:rsidRPr="007B6EEC">
        <w:rPr>
          <w:rFonts w:ascii="Times New Roman" w:hAnsi="Times New Roman" w:cs="Times New Roman"/>
        </w:rPr>
        <w:t>导入视频资源见光</w:t>
      </w:r>
      <w:r w:rsidRPr="007B6EEC">
        <w:rPr>
          <w:rFonts w:ascii="Times New Roman" w:hAnsi="Times New Roman" w:cs="Times New Roman" w:hint="eastAsia"/>
        </w:rPr>
        <w:t>盘</w:t>
      </w:r>
      <w:r>
        <w:rPr>
          <w:rFonts w:ascii="Times New Roman" w:hAnsi="Times New Roman" w:cs="Times New Roman" w:hint="eastAsia"/>
        </w:rPr>
        <w:t>)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目标导学一：认识作者</w:instrText>
      </w:r>
      <w:r>
        <w:rPr>
          <w:rFonts w:ascii="Times New Roman" w:eastAsia="黑体" w:hAnsi="Times New Roman" w:cs="Times New Roman"/>
        </w:rPr>
        <w:instrText>，</w:instrText>
      </w:r>
      <w:r w:rsidRPr="007B6EEC">
        <w:rPr>
          <w:rFonts w:ascii="Times New Roman" w:eastAsia="黑体" w:hAnsi="Times New Roman" w:cs="Times New Roman"/>
        </w:rPr>
        <w:instrText>了解作品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罗贯中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名本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字贯中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号湖海散人。他是元末明初著名小说家、戏曲家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是中国章回小说的鼻祖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代表作《三国演义》。罗贯中生于元末社会动乱之时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有自己的政治理想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不苟同于流俗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曾参与反元的起义斗争。明朝建立之后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专心致力于文学创作。今存署名由罗贯中编著的小说有《隋唐志传》《残唐五代史》《三遂平妖传》等。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《三国演义》：</w:t>
      </w:r>
      <w:r w:rsidRPr="007B6EEC">
        <w:rPr>
          <w:rFonts w:ascii="Times New Roman" w:eastAsia="楷体_GB2312" w:hAnsi="Times New Roman" w:cs="Times New Roman"/>
        </w:rPr>
        <w:t>又名《三国志通俗演义》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是我国第一部长篇章回体小说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也是历史演义小说的开山之作。所谓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历史演义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就是用通俗的语言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将兴废争战、朝代更替等为基干的历史题材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组织、敷演成完整的故事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并以此表明一定的政治思想、道德观念和美学理想。这种独特的文学样式受到了素重历史传统的中国人的喜爱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所以可观道人在《新列国志叙》中形容明代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自罗贯中氏《三国志》一书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以国史演为通俗演义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汪洋百余回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为世所尚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嗣是效颦者日众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因而有《夏书》《商书》《列国》诸刻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其浩瀚与正史分签并架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形成了一个创作历史演义的传统。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选文背景：</w:t>
      </w:r>
      <w:r w:rsidRPr="007B6EEC">
        <w:rPr>
          <w:rFonts w:ascii="Times New Roman" w:eastAsia="楷体_GB2312" w:hAnsi="Times New Roman" w:cs="Times New Roman"/>
        </w:rPr>
        <w:t>本文节选自名著《三国演义》的第三十八回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定三分隆中决策</w:t>
      </w:r>
      <w:r>
        <w:rPr>
          <w:rFonts w:ascii="Times New Roman" w:eastAsia="楷体_GB2312" w:hAnsi="Times New Roman" w:cs="Times New Roman"/>
        </w:rPr>
        <w:t xml:space="preserve">　</w:t>
      </w:r>
      <w:r w:rsidRPr="007B6EEC">
        <w:rPr>
          <w:rFonts w:ascii="Times New Roman" w:eastAsia="楷体_GB2312" w:hAnsi="Times New Roman" w:cs="Times New Roman"/>
        </w:rPr>
        <w:t>战长江孙氏报仇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当时有宏图大志的刘备依附于刘表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屯驻在新野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徐庶被曹操所骗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在去曹营前走马荐诸葛亮：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有经天纬地之才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盖天下一人也。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后刘备又遇到司马徽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司马徽对诸葛亮的评价是：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可比兴周八百年之姜子牙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旺汉四百年之张子房。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两人的荐语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更引起了刘备拜见诸葛亮的兴趣。一顾茅庐遇崔州平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论天下事；二顾茅庐遇诸葛均、黄承彦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留下书信。课文从三顾茅庐开始写起。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</w:t>
      </w:r>
      <w:r w:rsidRPr="007B6EEC">
        <w:rPr>
          <w:rFonts w:ascii="Times New Roman" w:eastAsia="黑体" w:hAnsi="Times New Roman" w:cs="Times New Roman" w:hint="eastAsia"/>
        </w:rPr>
        <w:t>导学二：梳理课文情节</w:t>
      </w:r>
      <w:r>
        <w:rPr>
          <w:rFonts w:ascii="Times New Roman" w:eastAsia="黑体" w:hAnsi="Times New Roman" w:cs="Times New Roman" w:hint="eastAsia"/>
        </w:rPr>
        <w:t>，</w:t>
      </w:r>
      <w:r w:rsidRPr="007B6EEC">
        <w:rPr>
          <w:rFonts w:ascii="Times New Roman" w:eastAsia="黑体" w:hAnsi="Times New Roman" w:cs="Times New Roman" w:hint="eastAsia"/>
        </w:rPr>
        <w:t>把握文章内容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请同学们默读文章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并说说文本可分为几个部分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做简要概括。</w:t>
      </w:r>
    </w:p>
    <w:p w:rsidR="00D17B47" w:rsidRDefault="00D17B47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文章可分为两部分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第一部分讲刘备第三次拜访诸葛亮的过程。因前两次拜谒不遇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关、张二人颇为恼怒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第三次适逢诸葛亮正在午睡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于是刘备立于厅前等待。这是三顾茅庐中的第三顾。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第二部分讲诸葛亮醒后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刘备咨以天下之事并邀之出山辅助的过程。二人对话中已经策划出未来的三分天下局面。这便是著名的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隆中对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部分。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目标导学三：分析人物形象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把</w:t>
      </w:r>
      <w:r w:rsidRPr="007B6EEC">
        <w:rPr>
          <w:rFonts w:ascii="Times New Roman" w:eastAsia="黑体" w:hAnsi="Times New Roman" w:cs="Times New Roman" w:hint="eastAsia"/>
        </w:rPr>
        <w:t>握人物性格特征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探究：本文篇幅不长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但人物个性却十分鲜明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请结合课文分析：诸葛亮、刘备、张飞各自有怎样的性格特征？</w:t>
      </w:r>
    </w:p>
    <w:p w:rsidR="00D17B47" w:rsidRDefault="00D17B47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诸葛亮：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高风亮节。诸葛亮有一身才华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却甘心做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南阳野人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刘皇叔若非一片赤诚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不能邀其出山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可见其本心也不愿流落世俗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是高风亮节之行。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仁心爱人。刘皇叔以天下苍生为念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诸葛亮方表示愿效犬马之劳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这是儒者大义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足见其一片仁义。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聪睿过人。一句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大梦谁先觉？平生我自知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是智慧的宣言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不出茅庐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而已知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三</w:t>
      </w:r>
      <w:r w:rsidRPr="007B6EEC">
        <w:rPr>
          <w:rFonts w:ascii="Times New Roman" w:eastAsia="楷体_GB2312" w:hAnsi="Times New Roman" w:cs="Times New Roman" w:hint="eastAsia"/>
        </w:rPr>
        <w:t>分天下</w:t>
      </w:r>
      <w:r w:rsidRPr="007B6EEC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足见诸葛亮之智。</w:t>
      </w:r>
    </w:p>
    <w:p w:rsidR="00D17B47" w:rsidRDefault="00D17B47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 w:hint="eastAsia"/>
        </w:rPr>
        <w:t>刘备：</w:t>
      </w:r>
      <w:r>
        <w:rPr>
          <w:rFonts w:ascii="Times New Roman" w:eastAsia="楷体_GB2312" w:hAnsi="Times New Roman" w:cs="Times New Roman" w:hint="eastAsia"/>
        </w:rPr>
        <w:t>(</w:t>
      </w:r>
      <w:r w:rsidRPr="007B6EEC">
        <w:rPr>
          <w:rFonts w:ascii="Times New Roman" w:eastAsia="楷体_GB2312" w:hAnsi="Times New Roman" w:cs="Times New Roman"/>
        </w:rPr>
        <w:t>1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仁心爱人。刘备求贤若渴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非是为了一己之私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在诸葛亮未应出山时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刘备泣曰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先生不出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如苍生何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是以苍生为念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以此可见其仁人之心。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诚心求贤。刘备为见得诸葛亮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不顾帝王身份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凡三往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可见其求贤之诚。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虚心求教。刘备自知谋略不足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因此请见诸葛亮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言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开备愚鲁而赐教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可见其请教虚心。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4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待人宽和有耐心。在张飞表现出急性子时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刘备表现出的是一种耐心与宽厚。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5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有远大的政治抱负。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张飞：鲁莽、直爽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直扬言将诸葛亮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用一条麻绳缚将来</w:t>
      </w:r>
      <w:r w:rsidRPr="007B6EEC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足见其行事鲁莽。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引导学生分析把握人物的性格特征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在理清人物性格之后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可分角色扮演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还原三顾茅庐情景。角色表演时注意引导学生表现出角色的独特性格。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目标导学四：精彩段落研读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解说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黑体" w:hAnsi="Times New Roman" w:cs="Times New Roman"/>
        </w:rPr>
        <w:t>隆中对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黑体" w:hAnsi="Times New Roman" w:cs="Times New Roman"/>
        </w:rPr>
        <w:t>内容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精读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又立了一个时辰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孔明才醒</w:t>
      </w:r>
      <w:r w:rsidRPr="007B6EEC">
        <w:rPr>
          <w:rFonts w:hAnsi="宋体" w:cs="Times New Roman"/>
        </w:rPr>
        <w:t>……</w:t>
      </w:r>
      <w:r w:rsidRPr="007B6EEC">
        <w:rPr>
          <w:rFonts w:ascii="Times New Roman" w:hAnsi="Times New Roman" w:cs="Times New Roman"/>
        </w:rPr>
        <w:t>以成鼎足之势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然后可图中原也</w:t>
      </w:r>
      <w:r w:rsidRPr="007B6EEC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完成以下问题。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请你结合全文内容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说一说你对诸葛亮所吟的四句诗的理解。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大梦谁先觉？平生我自知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暗示诸葛亮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未出茅庐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 w:hint="eastAsia"/>
        </w:rPr>
        <w:t>已知三分天下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的雄才大略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eastAsia="楷体_GB2312" w:hAnsi="Times New Roman" w:cs="Times New Roman" w:hint="eastAsia"/>
        </w:rPr>
        <w:t>草堂春睡足</w:t>
      </w:r>
      <w:r>
        <w:rPr>
          <w:rFonts w:ascii="Times New Roman" w:eastAsia="楷体_GB2312" w:hAnsi="Times New Roman" w:cs="Times New Roman" w:hint="eastAsia"/>
        </w:rPr>
        <w:t>，</w:t>
      </w:r>
      <w:r w:rsidRPr="007B6EEC">
        <w:rPr>
          <w:rFonts w:ascii="Times New Roman" w:eastAsia="楷体_GB2312" w:hAnsi="Times New Roman" w:cs="Times New Roman" w:hint="eastAsia"/>
        </w:rPr>
        <w:t>窗外日迟迟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eastAsia="楷体_GB2312" w:hAnsi="Times New Roman" w:cs="Times New Roman" w:hint="eastAsia"/>
        </w:rPr>
        <w:t>写出了诸葛亮淡泊名利。这四句诗为下文故事情节的发展做了铺垫。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为什么作者安排通过刘备的视线写诸葛亮的相貌？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相貌描写片段：玄德见孔明身长八尺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面如冠玉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头戴纶巾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身披鹤氅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飘飘然有神仙之概。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一方面写出诸葛亮气宇轩昂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神异不凡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另一方面更加坚定了刘备对诸葛亮的信任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确实有将相之才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又为下文的一再邀请做了铺垫。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诸葛亮为刘备分析天下大势的内容被后</w:t>
      </w:r>
      <w:r w:rsidRPr="007B6EEC">
        <w:rPr>
          <w:rFonts w:ascii="Times New Roman" w:hAnsi="Times New Roman" w:cs="Times New Roman" w:hint="eastAsia"/>
        </w:rPr>
        <w:t>人称作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hAnsi="Times New Roman" w:cs="Times New Roman" w:hint="eastAsia"/>
        </w:rPr>
        <w:t>隆中对</w:t>
      </w:r>
      <w:r w:rsidRPr="007B6EEC"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请你说说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hAnsi="Times New Roman" w:cs="Times New Roman" w:hint="eastAsia"/>
        </w:rPr>
        <w:t>隆中对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hAnsi="Times New Roman" w:cs="Times New Roman" w:hint="eastAsia"/>
        </w:rPr>
        <w:t>是如何帮助刘备分析天下大势的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hAnsi="Times New Roman" w:cs="Times New Roman" w:hint="eastAsia"/>
        </w:rPr>
        <w:t>隆中对</w:t>
      </w:r>
      <w:r w:rsidRPr="007B6EEC">
        <w:rPr>
          <w:rFonts w:hAnsi="宋体" w:cs="Times New Roman" w:hint="eastAsia"/>
        </w:rPr>
        <w:t>”</w:t>
      </w:r>
      <w:r w:rsidRPr="007B6EEC">
        <w:rPr>
          <w:rFonts w:ascii="Times New Roman" w:hAnsi="Times New Roman" w:cs="Times New Roman" w:hint="eastAsia"/>
        </w:rPr>
        <w:t>的内容有何作用。</w:t>
      </w:r>
    </w:p>
    <w:p w:rsidR="00D17B47" w:rsidRDefault="00D17B47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 w:hint="eastAsia"/>
        </w:rPr>
        <w:t>明确：</w:t>
      </w:r>
      <w:r w:rsidRPr="007B6EEC">
        <w:rPr>
          <w:rFonts w:ascii="Times New Roman" w:eastAsia="楷体_GB2312" w:hAnsi="Times New Roman" w:cs="Times New Roman"/>
        </w:rPr>
        <w:t>对曹操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诚不可与争锋。</w:t>
      </w:r>
    </w:p>
    <w:p w:rsidR="00D17B47" w:rsidRDefault="00D17B47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对孙权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可以为援而不可图也。</w:t>
      </w:r>
    </w:p>
    <w:p w:rsidR="00D17B47" w:rsidRDefault="00D17B47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对荆州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可争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作为根据地。</w:t>
      </w:r>
    </w:p>
    <w:p w:rsidR="00D17B47" w:rsidRDefault="00D17B47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对益州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可图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作为根据地。</w:t>
      </w:r>
    </w:p>
    <w:p w:rsidR="00D17B47" w:rsidRDefault="00D17B47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最终目标：成霸业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兴汉室。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隆中对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的内容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其实也是整本《三国演义》的总纲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诸葛亮出山之后的情节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恰如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隆中对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中所对出的内容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都一一上演。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【教学提示】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隆中对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hAnsi="Times New Roman" w:cs="Times New Roman"/>
        </w:rPr>
        <w:t>的内容极具谋略性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可引导学生对此战略布局做详细分析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绘制地图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 w:hint="eastAsia"/>
        </w:rPr>
        <w:t>感受诸葛亮之智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体会运用军事谋略的趣味。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课文写刘备听完了诸葛亮对天下大势的分析后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说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hAnsi="Times New Roman" w:cs="Times New Roman"/>
        </w:rPr>
        <w:t>先生之言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顿开茅塞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使备如拨云雾而睹青天</w:t>
      </w:r>
      <w:r w:rsidRPr="007B6EEC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这句话有什么作用？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这是从侧面烘托诸葛亮神机妙算、足智多谋。诸葛亮对天下大势的分析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也让刘备找到了实现宏愿的途径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兴复汉室有了可能性。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7B6EEC">
        <w:rPr>
          <w:rFonts w:ascii="Times New Roman" w:hAnsi="Times New Roman" w:cs="Times New Roman"/>
        </w:rPr>
        <w:instrText>al(</w:instrText>
      </w:r>
      <w:r w:rsidRPr="007B6EEC">
        <w:rPr>
          <w:rFonts w:ascii="Times New Roman" w:eastAsia="黑体" w:hAnsi="Times New Roman" w:cs="Times New Roman"/>
        </w:rPr>
        <w:instrText>目标导学五：欣赏小说的艺术特色</w:instrText>
      </w:r>
      <w:r w:rsidRPr="007B6EEC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人物出场的艺术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小说人物常见的出场方式：</w:t>
      </w:r>
      <w:r w:rsidRPr="007B6EEC">
        <w:rPr>
          <w:rFonts w:ascii="Times New Roman" w:hAnsi="Times New Roman" w:cs="Times New Roman" w:hint="eastAsia"/>
        </w:rPr>
        <w:t>一、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hAnsi="Times New Roman" w:cs="Times New Roman" w:hint="eastAsia"/>
        </w:rPr>
        <w:t>单刀直入</w:t>
      </w:r>
      <w:r w:rsidRPr="007B6EEC"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(</w:t>
      </w:r>
      <w:r w:rsidRPr="007B6EEC">
        <w:rPr>
          <w:rFonts w:ascii="Times New Roman" w:hAnsi="Times New Roman" w:cs="Times New Roman" w:hint="eastAsia"/>
        </w:rPr>
        <w:t>开篇就让人物出场</w:t>
      </w:r>
      <w:r>
        <w:rPr>
          <w:rFonts w:ascii="Times New Roman" w:hAnsi="Times New Roman" w:cs="Times New Roman" w:hint="eastAsia"/>
        </w:rPr>
        <w:t>)</w:t>
      </w:r>
      <w:r w:rsidRPr="007B6EEC">
        <w:rPr>
          <w:rFonts w:ascii="Times New Roman" w:hAnsi="Times New Roman" w:cs="Times New Roman" w:hint="eastAsia"/>
        </w:rPr>
        <w:t>；二、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hAnsi="Times New Roman" w:cs="Times New Roman" w:hint="eastAsia"/>
        </w:rPr>
        <w:t>先声夺人</w:t>
      </w:r>
      <w:r w:rsidRPr="007B6EEC"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(</w:t>
      </w:r>
      <w:r w:rsidRPr="007B6EEC">
        <w:rPr>
          <w:rFonts w:ascii="Times New Roman" w:hAnsi="Times New Roman" w:cs="Times New Roman" w:hint="eastAsia"/>
        </w:rPr>
        <w:t>先闻其声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后见其人</w:t>
      </w:r>
      <w:r>
        <w:rPr>
          <w:rFonts w:ascii="Times New Roman" w:hAnsi="Times New Roman" w:cs="Times New Roman" w:hint="eastAsia"/>
        </w:rPr>
        <w:t>)</w:t>
      </w:r>
      <w:r w:rsidRPr="007B6EEC">
        <w:rPr>
          <w:rFonts w:ascii="Times New Roman" w:hAnsi="Times New Roman" w:cs="Times New Roman" w:hint="eastAsia"/>
        </w:rPr>
        <w:t>；三、</w:t>
      </w:r>
      <w:r w:rsidRPr="007B6EEC">
        <w:rPr>
          <w:rFonts w:hAnsi="宋体" w:cs="Times New Roman" w:hint="eastAsia"/>
        </w:rPr>
        <w:t>“</w:t>
      </w:r>
      <w:r w:rsidRPr="007B6EEC">
        <w:rPr>
          <w:rFonts w:ascii="Times New Roman" w:hAnsi="Times New Roman" w:cs="Times New Roman" w:hint="eastAsia"/>
        </w:rPr>
        <w:t>铺垫渲染</w:t>
      </w:r>
      <w:r w:rsidRPr="007B6EEC">
        <w:rPr>
          <w:rFonts w:hAnsi="宋体" w:cs="Times New Roman" w:hint="eastAsia"/>
        </w:rPr>
        <w:t>”</w:t>
      </w:r>
      <w:r>
        <w:rPr>
          <w:rFonts w:ascii="Times New Roman" w:hAnsi="Times New Roman" w:cs="Times New Roman" w:hint="eastAsia"/>
        </w:rPr>
        <w:t>(</w:t>
      </w:r>
      <w:r w:rsidRPr="007B6EEC">
        <w:rPr>
          <w:rFonts w:ascii="Times New Roman" w:hAnsi="Times New Roman" w:cs="Times New Roman" w:hint="eastAsia"/>
        </w:rPr>
        <w:t>千呼万唤始出来</w:t>
      </w:r>
      <w:r>
        <w:rPr>
          <w:rFonts w:ascii="Times New Roman" w:hAnsi="Times New Roman" w:cs="Times New Roman" w:hint="eastAsia"/>
        </w:rPr>
        <w:t>)</w:t>
      </w:r>
      <w:r w:rsidRPr="007B6EEC">
        <w:rPr>
          <w:rFonts w:ascii="Times New Roman" w:hAnsi="Times New Roman" w:cs="Times New Roman" w:hint="eastAsia"/>
        </w:rPr>
        <w:t>。结合文章内容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说一说诸葛亮的出场属于哪一种</w:t>
      </w:r>
      <w:r>
        <w:rPr>
          <w:rFonts w:ascii="Times New Roman" w:hAnsi="Times New Roman" w:cs="Times New Roman" w:hint="eastAsia"/>
        </w:rPr>
        <w:t>，</w:t>
      </w:r>
      <w:r w:rsidRPr="007B6EEC">
        <w:rPr>
          <w:rFonts w:ascii="Times New Roman" w:hAnsi="Times New Roman" w:cs="Times New Roman" w:hint="eastAsia"/>
        </w:rPr>
        <w:t>这样写有什么好处。</w:t>
      </w:r>
    </w:p>
    <w:p w:rsidR="00D17B47" w:rsidRDefault="00D17B47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 w:hint="eastAsia"/>
        </w:rPr>
        <w:t>明确：</w:t>
      </w:r>
      <w:r w:rsidRPr="007B6EEC">
        <w:rPr>
          <w:rFonts w:ascii="Times New Roman" w:eastAsia="楷体_GB2312" w:hAnsi="Times New Roman" w:cs="Times New Roman"/>
        </w:rPr>
        <w:t>属于铺垫渲染</w:t>
      </w:r>
      <w:r>
        <w:rPr>
          <w:rFonts w:ascii="Times New Roman" w:eastAsia="楷体_GB2312" w:hAnsi="Times New Roman" w:cs="Times New Roman"/>
        </w:rPr>
        <w:t>(</w:t>
      </w:r>
      <w:r w:rsidRPr="007B6EEC">
        <w:rPr>
          <w:rFonts w:ascii="Times New Roman" w:eastAsia="楷体_GB2312" w:hAnsi="Times New Roman" w:cs="Times New Roman"/>
        </w:rPr>
        <w:t>千呼万唤始出来</w:t>
      </w:r>
      <w:r>
        <w:rPr>
          <w:rFonts w:ascii="Times New Roman" w:eastAsia="楷体_GB2312" w:hAnsi="Times New Roman" w:cs="Times New Roman"/>
        </w:rPr>
        <w:t>)</w:t>
      </w:r>
      <w:r w:rsidRPr="007B6EEC">
        <w:rPr>
          <w:rFonts w:ascii="Times New Roman" w:eastAsia="楷体_GB2312" w:hAnsi="Times New Roman" w:cs="Times New Roman"/>
        </w:rPr>
        <w:t>。</w:t>
      </w:r>
    </w:p>
    <w:p w:rsidR="00D17B47" w:rsidRDefault="00D17B47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例如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首段刘、关、张三人的不同意见；路遇诸葛均；阶下侍立等昼寝的诸葛亮醒来；诸葛亮翻身将起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——</w:t>
      </w:r>
      <w:r w:rsidRPr="007B6EEC">
        <w:rPr>
          <w:rFonts w:ascii="Times New Roman" w:eastAsia="楷体_GB2312" w:hAnsi="Times New Roman" w:cs="Times New Roman"/>
        </w:rPr>
        <w:t>忽又朝里壁睡着；又过了一个时辰才醒。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在出场前对诸葛亮的烘托、渲染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仿佛东云现鳞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西云现爪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增强了故事的张力和神秘感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极大地激发了读者的阅读兴趣。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7B6EEC">
        <w:rPr>
          <w:rFonts w:ascii="Times New Roman" w:hAnsi="Times New Roman" w:cs="Times New Roman"/>
        </w:rPr>
        <w:t>第三、四段用诗句作结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请结合文章内容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说一说这样写的好处。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诗句：豫州当日叹孤穷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何幸南阳有卧龙！欲识他年分鼎处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先生笑指画图中。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身未升腾思退步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功成应忆去时言。只因先主丁宁后</w:t>
      </w:r>
      <w:r>
        <w:rPr>
          <w:rFonts w:ascii="Times New Roman" w:hAnsi="Times New Roman" w:cs="Times New Roman"/>
        </w:rPr>
        <w:t>，</w:t>
      </w:r>
      <w:r w:rsidRPr="007B6EEC">
        <w:rPr>
          <w:rFonts w:ascii="Times New Roman" w:hAnsi="Times New Roman" w:cs="Times New Roman"/>
        </w:rPr>
        <w:t>星落秋风五丈原。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明确：</w:t>
      </w:r>
      <w:r w:rsidRPr="007B6EEC">
        <w:rPr>
          <w:rFonts w:ascii="Times New Roman" w:eastAsia="楷体_GB2312" w:hAnsi="Times New Roman" w:cs="Times New Roman"/>
        </w:rPr>
        <w:t>作者善用诗句对所叙之事、所刻画之人进行评点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又为后面的故事埋下了伏笔。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eastAsia="黑体" w:hAnsi="Times New Roman" w:cs="Times New Roman"/>
        </w:rPr>
        <w:t>目标导学六：拓展延伸</w:t>
      </w:r>
      <w:r>
        <w:rPr>
          <w:rFonts w:ascii="Times New Roman" w:eastAsia="黑体" w:hAnsi="Times New Roman" w:cs="Times New Roman"/>
        </w:rPr>
        <w:t>，</w:t>
      </w:r>
      <w:r w:rsidRPr="007B6EEC">
        <w:rPr>
          <w:rFonts w:ascii="Times New Roman" w:eastAsia="黑体" w:hAnsi="Times New Roman" w:cs="Times New Roman"/>
        </w:rPr>
        <w:t>探究《三顾茅庐》故事经久不衰之秘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试探究为何《三国演义》经千年传唱成为佳话且经久不衰？</w:t>
      </w:r>
    </w:p>
    <w:p w:rsidR="00D17B47" w:rsidRDefault="00D17B47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hAnsi="Times New Roman" w:cs="Times New Roman" w:hint="eastAsia"/>
        </w:rPr>
        <w:t>明确：</w:t>
      </w:r>
      <w:r w:rsidRPr="007B6EEC">
        <w:rPr>
          <w:rFonts w:ascii="Times New Roman" w:eastAsia="楷体_GB2312" w:hAnsi="Times New Roman" w:cs="Times New Roman"/>
        </w:rPr>
        <w:t>1.</w:t>
      </w:r>
      <w:r w:rsidRPr="007B6EEC">
        <w:rPr>
          <w:rFonts w:ascii="Times New Roman" w:eastAsia="楷体_GB2312" w:hAnsi="Times New Roman" w:cs="Times New Roman"/>
        </w:rPr>
        <w:t>《三顾茅庐》的情节在史书中仅有寥寥几笔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但在罗贯中的笔下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这个故事丰润起来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并随着《三国演义》的感染力一同为人悉知。</w:t>
      </w:r>
    </w:p>
    <w:p w:rsidR="00D17B47" w:rsidRDefault="00D17B47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2</w:t>
      </w:r>
      <w:r>
        <w:rPr>
          <w:rFonts w:ascii="Times New Roman" w:eastAsia="楷体_GB2312" w:hAnsi="Times New Roman" w:cs="Times New Roman"/>
        </w:rPr>
        <w:t>．</w:t>
      </w:r>
      <w:r w:rsidRPr="007B6EEC">
        <w:rPr>
          <w:rFonts w:ascii="Times New Roman" w:eastAsia="楷体_GB2312" w:hAnsi="Times New Roman" w:cs="Times New Roman"/>
        </w:rPr>
        <w:t>《三顾茅庐》的</w:t>
      </w:r>
      <w:r w:rsidRPr="007B6EEC">
        <w:rPr>
          <w:rFonts w:hAnsi="宋体" w:cs="Times New Roman"/>
        </w:rPr>
        <w:t>“</w:t>
      </w:r>
      <w:r w:rsidRPr="007B6EEC">
        <w:rPr>
          <w:rFonts w:ascii="Times New Roman" w:eastAsia="楷体_GB2312" w:hAnsi="Times New Roman" w:cs="Times New Roman"/>
        </w:rPr>
        <w:t>隆中对</w:t>
      </w:r>
      <w:r w:rsidRPr="007B6EEC">
        <w:rPr>
          <w:rFonts w:hAnsi="宋体" w:cs="Times New Roman"/>
        </w:rPr>
        <w:t>”</w:t>
      </w:r>
      <w:r w:rsidRPr="007B6EEC">
        <w:rPr>
          <w:rFonts w:ascii="Times New Roman" w:eastAsia="楷体_GB2312" w:hAnsi="Times New Roman" w:cs="Times New Roman"/>
        </w:rPr>
        <w:t>部分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表现了诸葛亮之智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又类似于总纲内容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给人深刻印象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因此经久不衰。</w:t>
      </w:r>
    </w:p>
    <w:p w:rsidR="00D17B47" w:rsidRDefault="00D17B47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3</w:t>
      </w:r>
      <w:r>
        <w:rPr>
          <w:rFonts w:ascii="Times New Roman" w:eastAsia="楷体_GB2312" w:hAnsi="Times New Roman" w:cs="Times New Roman"/>
        </w:rPr>
        <w:t>．</w:t>
      </w:r>
      <w:r w:rsidRPr="007B6EEC">
        <w:rPr>
          <w:rFonts w:ascii="Times New Roman" w:eastAsia="楷体_GB2312" w:hAnsi="Times New Roman" w:cs="Times New Roman"/>
        </w:rPr>
        <w:t>古代士人都有一个择主而事的梦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求贤若渴也是贤君的表现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这正是士大夫乃至平民百姓的理想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因此经久不衰。</w:t>
      </w:r>
    </w:p>
    <w:p w:rsidR="00D17B47" w:rsidRDefault="00D17B47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【教学提示】</w:t>
      </w:r>
    </w:p>
    <w:p w:rsidR="00D17B47" w:rsidRDefault="00D17B47" w:rsidP="008D114F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7B6EEC">
        <w:rPr>
          <w:rFonts w:ascii="Times New Roman" w:eastAsia="楷体_GB2312" w:hAnsi="Times New Roman" w:cs="Times New Roman"/>
        </w:rPr>
        <w:t>该部分照应教学导入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教师可提供适量材料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方便学生对此问题进行深入研究</w:t>
      </w:r>
      <w:r>
        <w:rPr>
          <w:rFonts w:ascii="Times New Roman" w:eastAsia="楷体_GB2312" w:hAnsi="Times New Roman" w:cs="Times New Roman"/>
        </w:rPr>
        <w:t>，</w:t>
      </w:r>
      <w:r w:rsidRPr="007B6EEC">
        <w:rPr>
          <w:rFonts w:ascii="Times New Roman" w:eastAsia="楷体_GB2312" w:hAnsi="Times New Roman" w:cs="Times New Roman"/>
        </w:rPr>
        <w:t>发挥学生的探究性思维。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三、板书设计</w:t>
      </w:r>
    </w:p>
    <w:p w:rsidR="00D17B47" w:rsidRDefault="00D17B47" w:rsidP="008D114F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三顾茅庐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刘备：</w:t>
      </w:r>
      <w:r>
        <w:rPr>
          <w:rFonts w:ascii="Times New Roman" w:hAnsi="Times New Roman" w:cs="Times New Roman"/>
        </w:rPr>
        <w:t xml:space="preserve">　　</w:t>
      </w:r>
      <w:r w:rsidRPr="007B6EEC">
        <w:rPr>
          <w:rFonts w:ascii="Times New Roman" w:hAnsi="Times New Roman" w:cs="Times New Roman"/>
        </w:rPr>
        <w:t>求贤若渴</w:t>
      </w:r>
      <w:r>
        <w:rPr>
          <w:rFonts w:ascii="Times New Roman" w:hAnsi="Times New Roman" w:cs="Times New Roman"/>
        </w:rPr>
        <w:t xml:space="preserve">　　</w:t>
      </w:r>
      <w:r w:rsidRPr="007B6EEC">
        <w:rPr>
          <w:rFonts w:ascii="Times New Roman" w:hAnsi="Times New Roman" w:cs="Times New Roman"/>
        </w:rPr>
        <w:t>志向远大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诸葛亮：</w:t>
      </w:r>
      <w:r>
        <w:rPr>
          <w:rFonts w:ascii="Times New Roman" w:hAnsi="Times New Roman" w:cs="Times New Roman"/>
        </w:rPr>
        <w:t xml:space="preserve">  </w:t>
      </w:r>
      <w:r w:rsidRPr="007B6EEC">
        <w:rPr>
          <w:rFonts w:ascii="Times New Roman" w:hAnsi="Times New Roman" w:cs="Times New Roman"/>
        </w:rPr>
        <w:t>才略高超</w:t>
      </w:r>
      <w:r>
        <w:rPr>
          <w:rFonts w:ascii="Times New Roman" w:hAnsi="Times New Roman" w:cs="Times New Roman"/>
        </w:rPr>
        <w:t xml:space="preserve">  </w:t>
      </w:r>
      <w:r w:rsidRPr="007B6EEC">
        <w:rPr>
          <w:rFonts w:ascii="Times New Roman" w:hAnsi="Times New Roman" w:cs="Times New Roman"/>
        </w:rPr>
        <w:t>淡泊名利</w:t>
      </w:r>
    </w:p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  <w:r w:rsidRPr="007B6EEC">
        <w:rPr>
          <w:rFonts w:ascii="Times New Roman" w:hAnsi="Times New Roman" w:cs="Times New Roman"/>
        </w:rPr>
        <w:t>张飞：</w:t>
      </w:r>
      <w:r>
        <w:rPr>
          <w:rFonts w:ascii="Times New Roman" w:hAnsi="Times New Roman" w:cs="Times New Roman"/>
        </w:rPr>
        <w:t xml:space="preserve">  </w:t>
      </w:r>
      <w:r w:rsidRPr="007B6EEC">
        <w:rPr>
          <w:rFonts w:ascii="Times New Roman" w:hAnsi="Times New Roman" w:cs="Times New Roman"/>
        </w:rPr>
        <w:t>言行鲁莽</w:t>
      </w:r>
      <w:r>
        <w:rPr>
          <w:rFonts w:ascii="Times New Roman" w:hAnsi="Times New Roman" w:cs="Times New Roman"/>
        </w:rPr>
        <w:t xml:space="preserve">  </w:t>
      </w:r>
      <w:r w:rsidRPr="007B6EEC">
        <w:rPr>
          <w:rFonts w:ascii="Times New Roman" w:hAnsi="Times New Roman" w:cs="Times New Roman"/>
        </w:rPr>
        <w:t>性格直爽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6BA2EA14" wp14:editId="63FAF76D">
            <wp:extent cx="1050290" cy="217170"/>
            <wp:effectExtent l="19050" t="0" r="0" b="0"/>
            <wp:docPr id="805" name="图片 805" descr="\\c3\本地磁盘 (D)\帮忙做的\18秋·学·人九语教案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5" descr="\\c3\本地磁盘 (D)\帮忙做的\18秋·学·人九语教案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21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D17B47" w:rsidRPr="007B6EEC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D17B47" w:rsidRPr="007B6EEC" w:rsidRDefault="00D17B47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D17B47" w:rsidRDefault="00D17B47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1.</w:t>
            </w:r>
            <w:r w:rsidRPr="007B6EEC">
              <w:rPr>
                <w:rFonts w:ascii="Times New Roman" w:hAnsi="Times New Roman" w:cs="Times New Roman"/>
              </w:rPr>
              <w:t>介绍背景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为学生理解课文内容做了有效的铺垫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降低了难度。</w:t>
            </w:r>
          </w:p>
          <w:p w:rsidR="00D17B47" w:rsidRPr="007B6EEC" w:rsidRDefault="00D17B47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．</w:t>
            </w:r>
            <w:r w:rsidRPr="007B6EEC">
              <w:rPr>
                <w:rFonts w:ascii="Times New Roman" w:hAnsi="Times New Roman" w:cs="Times New Roman"/>
              </w:rPr>
              <w:t>重视学法的指导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从小说的故事情节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人物形象的塑造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小说的特色等方面培养了阅读能力。</w:t>
            </w:r>
          </w:p>
        </w:tc>
      </w:tr>
      <w:tr w:rsidR="00D17B47" w:rsidTr="007154DA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D17B47" w:rsidRPr="007B6EEC" w:rsidRDefault="00D17B47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D17B47" w:rsidRDefault="00D17B47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1.</w:t>
            </w:r>
            <w:r w:rsidRPr="007B6EEC">
              <w:rPr>
                <w:rFonts w:ascii="Times New Roman" w:hAnsi="Times New Roman" w:cs="Times New Roman"/>
              </w:rPr>
              <w:t>由于部分学生对名著本身未进行全文阅读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对</w:t>
            </w:r>
            <w:r w:rsidRPr="007B6EEC">
              <w:rPr>
                <w:rFonts w:hAnsi="宋体" w:cs="Times New Roman"/>
              </w:rPr>
              <w:t>“</w:t>
            </w:r>
            <w:r w:rsidRPr="007B6EEC">
              <w:rPr>
                <w:rFonts w:ascii="Times New Roman" w:hAnsi="Times New Roman" w:cs="Times New Roman"/>
              </w:rPr>
              <w:t>隆中对</w:t>
            </w:r>
            <w:r w:rsidRPr="007B6EEC">
              <w:rPr>
                <w:rFonts w:hAnsi="宋体" w:cs="Times New Roman"/>
              </w:rPr>
              <w:t>”</w:t>
            </w:r>
            <w:r w:rsidRPr="007B6EEC">
              <w:rPr>
                <w:rFonts w:ascii="Times New Roman" w:hAnsi="Times New Roman" w:cs="Times New Roman"/>
              </w:rPr>
              <w:t>中的谋略不能详尽知悉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是一大遗憾。</w:t>
            </w:r>
          </w:p>
          <w:p w:rsidR="00D17B47" w:rsidRDefault="00D17B47" w:rsidP="007154DA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7B6EEC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．</w:t>
            </w:r>
            <w:r w:rsidRPr="007B6EEC">
              <w:rPr>
                <w:rFonts w:ascii="Times New Roman" w:hAnsi="Times New Roman" w:cs="Times New Roman"/>
              </w:rPr>
              <w:t>对于本文语言特征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若在条件允许的前提下</w:t>
            </w:r>
            <w:r>
              <w:rPr>
                <w:rFonts w:ascii="Times New Roman" w:hAnsi="Times New Roman" w:cs="Times New Roman"/>
              </w:rPr>
              <w:t>，</w:t>
            </w:r>
            <w:r w:rsidRPr="007B6EEC">
              <w:rPr>
                <w:rFonts w:ascii="Times New Roman" w:hAnsi="Times New Roman" w:cs="Times New Roman"/>
              </w:rPr>
              <w:t>还可做更细致的分析。</w:t>
            </w:r>
          </w:p>
        </w:tc>
      </w:tr>
    </w:tbl>
    <w:p w:rsidR="00D17B47" w:rsidRDefault="00D17B47" w:rsidP="008D114F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D17B47" w:rsidRDefault="00D17B47" w:rsidP="000C19EA">
      <w:pPr>
        <w:sectPr w:rsidR="00D17B47" w:rsidSect="000C19EA">
          <w:type w:val="continuous"/>
          <w:pgSz w:w="11906" w:h="16838"/>
          <w:pgMar w:top="1440" w:right="1753" w:bottom="1440" w:left="1753" w:header="851" w:footer="992" w:gutter="0"/>
          <w:cols w:space="425"/>
          <w:docGrid w:type="lines" w:linePitch="312"/>
        </w:sectPr>
      </w:pPr>
    </w:p>
    <w:p w:rsidR="001E59F7" w:rsidRDefault="001E59F7"/>
    <w:sectPr w:rsidR="001E59F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17B47"/>
    <w:rsid w:val="001E59F7"/>
    <w:rsid w:val="00D17B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D17B47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D17B47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D17B47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D17B47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D17B47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D17B47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D17B47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D17B47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3398;&#183;&#20154;&#20061;&#35821;&#25945;&#26696;word\&#25945;&#23398;&#36807;&#31243;.T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3398;&#183;&#20154;&#20061;&#35821;&#25945;&#26696;word\&#25945;&#23398;&#30446;&#26631;.TI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3398;&#183;&#20154;&#20061;&#35821;&#25945;&#2669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511</Words>
  <Characters>2915</Characters>
  <DocSecurity>0</DocSecurity>
  <Lines>24</Lines>
  <Paragraphs>6</Paragraphs>
  <ScaleCrop>false</ScaleCrop>
  <Company/>
  <LinksUpToDate>false</LinksUpToDate>
  <CharactersWithSpaces>3420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2018-05-19T03:49:00Z</dcterms:created>
  <cp:category/>
</cp:coreProperties>
</file>