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9C6B64" w:rsidP="009C6B6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9C6B64">
        <w:rPr>
          <w:rFonts w:ascii="宋体" w:eastAsia="宋体" w:hAnsi="宋体"/>
          <w:color w:val="FF0000"/>
          <w:sz w:val="28"/>
        </w:rPr>
        <w:t>基础专项练8　名篇名句默写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1．补写出下列句子中的空缺部分。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(1)范仲淹《岳阳楼记》中“________________，________________”两句，借对鸟和鱼的状态的描绘，写出了洞庭湖春天的景色之美。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(2)杜牧《阿房宫赋》中的“________________，________________”，一方面写出了阿房宫建筑群的走向，另一方面突出了其规模的宏大无比。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(3)辛弃疾在《永遇乐(千古江山)》中，先以“________________”一句表现前辈的声威气势，再以“__________________”一句描述后辈的狼狈之相，前后可谓对照鲜明。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2．补写出下列句子中的空缺部分。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(1)李贺《雁门太守行》中“________________，________________”两句，既渲染了兵临城下的紧张气氛，又写出了守军威武雄壮的气势。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(2)庄子《逍遥游》中在论述“小年不及大年”时，以“_____________，______________”这样的小年与以五百岁为春的冥灵的大年作比较。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(3)苏轼在《赤壁赋》中借“水”“月”阐述了天地万物“变”与“不变”的道理，从“变”的角度看“________________”，从“不变”的角度看“______________________”。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3．补写出下列句子中的空缺部分。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(1)张养浩的《山坡羊·潼关怀古》中从视觉和听觉两方面写出了潼关地势险要的句子是“__________________，______________________”。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(2)周敦颐《爱莲说》中，象征君子的特立独行，正直不苟，豁达大度的两句是“______________________，______________________”。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(3)《蜀道难》中运用夸张极言山峰之高、绝壁之险，渲染惊险的气氛的句子是“____________________________，____________________________”。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4．补写出下列句子中的空缺部分。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(1)《琵琶行》中，白居易描写琵琶女与五陵年少奏乐饮酒、奢华欢愉场面的两句是“______________________，______________________”。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(2)《白雪歌送武判官归京》中，岑参运用浪漫夸张的手法，以“__________________，__________________”描写了沙漠上寒冰纵横、彤云密布的景象。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(3)《雁门太守行》中，李贺描写将士们不顾恶劣环境，连夜驰援、英勇作战的诗句是“______________________，______________________”。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5．补写出下列句子中的空缺部分。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(1)刘禹锡在《酬乐天扬州初逢席上见赠》中，用典故表达怀念故友、感慨世事变迁的诗句是“________________，________________”。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(2)白居易在《观刈麦》中，运用侧面描写来表现农夫劳动繁忙的诗句是“________________，________________”。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(3)杜牧《赤壁》一诗中，蕴含机遇造人的哲理的诗句是“__________，__________”。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6．补写出下列句子中的空缺部分。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(1)《庄子·逍遥游》中，在写蜩与学鸠对大鹏的嘲笑之后，提出总结性看法的两句是“____________________，__________________”。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(2)刘禹锡《陋室铭》中写主人摆脱繁杂公务并暗寓欣喜之情的句子是“________________，______________________”。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(3)苏轼《念奴娇·赤壁怀古》中“_____________，____________”两句，交代出指挥赤壁之战的周瑜正值青春年少、春风得意之时。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7．补写出下列句子中的空缺部分。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(1)《劝学》中蚯蚓向上食尘土，向下饮泉水是因为“__________________”，而螃蟹“________________________”是因为浮躁、不专心。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(2)苏轼在《赤壁赋》中以月亮作比，描写世间万物变化的规律的句子是“______________，______________________”。</w:t>
      </w:r>
    </w:p>
    <w:p w:rsidR="005730E0" w:rsidRPr="009C6B6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(3)韩愈《早春呈水部张十八员外》一诗中，与杜甫的“好雨知时节，当春乃发生。随风潜入夜，润物细无声”有异曲同工之妙的诗句是“_______________，_______________”。</w:t>
      </w:r>
    </w:p>
    <w:p w:rsidR="00AB6467" w:rsidRPr="009C6B64" w:rsidP="00AB646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C6B64">
        <w:rPr>
          <w:rFonts w:ascii="宋体" w:eastAsia="宋体" w:hAnsi="宋体"/>
          <w:sz w:val="21"/>
        </w:rPr>
        <w:br w:type="page"/>
      </w:r>
      <w:r w:rsidRPr="009C6B64">
        <w:rPr>
          <w:rFonts w:ascii="宋体" w:eastAsia="宋体" w:hAnsi="宋体"/>
          <w:sz w:val="21"/>
        </w:rPr>
        <w:t>答案精析</w:t>
      </w:r>
    </w:p>
    <w:p w:rsidR="00AB6467" w:rsidRPr="009C6B64" w:rsidP="00AB64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1</w:t>
      </w:r>
      <w:r w:rsidRPr="009C6B64">
        <w:rPr>
          <w:rFonts w:hAnsi="宋体"/>
        </w:rPr>
        <w:t>．</w:t>
      </w:r>
      <w:r w:rsidRPr="009C6B64">
        <w:rPr>
          <w:rFonts w:hAnsi="宋体" w:cs="Times New Roman"/>
          <w:spacing w:val="2"/>
        </w:rPr>
        <w:t>(1)沙鸥翔集　锦鳞游泳　(2)骊山北构而西折　直走咸阳　(3)气吞万里如虎　赢得仓皇北顾</w:t>
      </w:r>
    </w:p>
    <w:p w:rsidR="00AB6467" w:rsidRPr="009C6B64" w:rsidP="00AB64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2．(1)黑云压城城欲摧　甲光向日金鳞开　(2)朝菌不知晦朔　蟪蛄不知春秋　(3)则天地曾不能以一瞬　则物与我皆无尽也</w:t>
      </w:r>
    </w:p>
    <w:p w:rsidR="00AB6467" w:rsidRPr="009C6B64" w:rsidP="00AB64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3．(1)峰峦如聚　波涛如怒　(2)中通外直　不蔓不枝　(3)连峰去天不盈尺　枯松倒挂倚绝壁</w:t>
      </w:r>
    </w:p>
    <w:p w:rsidR="00AB6467" w:rsidRPr="009C6B64" w:rsidP="00AB64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4．(1)钿头云篦击节碎　血色罗裙翻酒污　(2)瀚海阑干百丈冰　愁云惨淡万里凝　(3)半卷红旗临易水　霜重鼓寒声不起</w:t>
      </w:r>
    </w:p>
    <w:p w:rsidR="00AB6467" w:rsidRPr="009C6B64" w:rsidP="00AB64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5．(1)怀旧空吟闻笛赋　到乡翻似烂柯人　(2)妇姑荷箪食</w:t>
      </w:r>
      <w:r w:rsidRPr="009C6B64">
        <w:rPr>
          <w:rFonts w:hAnsi="宋体" w:cs="Times New Roman" w:hint="eastAsia"/>
        </w:rPr>
        <w:t>　</w:t>
      </w:r>
      <w:r w:rsidRPr="009C6B64">
        <w:rPr>
          <w:rFonts w:hAnsi="宋体" w:cs="Times New Roman"/>
        </w:rPr>
        <w:t>童稚携壶浆　(3)东风不与周郎便　铜雀春深锁二乔</w:t>
      </w:r>
    </w:p>
    <w:p w:rsidR="00AB6467" w:rsidRPr="009C6B64" w:rsidP="00AB64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6．(1)小知不及大知　小年不及大年　(2)无丝竹之乱耳　无案牍之劳形　(3)小乔初嫁了　雄姿英发</w:t>
      </w:r>
    </w:p>
    <w:p w:rsidR="00C9204E" w:rsidRPr="009C6B64" w:rsidP="00AB64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C6B64">
        <w:rPr>
          <w:rFonts w:hAnsi="宋体" w:cs="Times New Roman"/>
        </w:rPr>
        <w:t>7．(1)用心一也　非蛇鳝之穴无可寄托者　(2)盈虚者如彼</w:t>
      </w:r>
      <w:r w:rsidRPr="009C6B64">
        <w:rPr>
          <w:rFonts w:hAnsi="宋体" w:cs="Times New Roman" w:hint="eastAsia"/>
        </w:rPr>
        <w:t>　</w:t>
      </w:r>
      <w:r w:rsidRPr="009C6B64">
        <w:rPr>
          <w:rFonts w:hAnsi="宋体" w:cs="Times New Roman"/>
        </w:rPr>
        <w:t>而卒莫消长也　(3)天街小雨润如酥　草色遥看近却无</w:t>
      </w:r>
      <w:bookmarkStart w:id="0" w:name="_GoBack"/>
      <w:bookmarkEnd w:id="0"/>
    </w:p>
    <w:p w:rsidR="00C9204E" w:rsidRPr="009C6B64">
      <w:pPr>
        <w:rPr>
          <w:rFonts w:ascii="宋体" w:hAnsi="宋体"/>
          <w:noProof/>
        </w:rPr>
      </w:pPr>
    </w:p>
    <w:p w:rsidR="00C9204E" w:rsidRPr="009C6B64">
      <w:pPr>
        <w:rPr>
          <w:rFonts w:ascii="宋体" w:hAnsi="宋体"/>
        </w:rPr>
      </w:pPr>
    </w:p>
    <w:p w:rsidR="00AB6467" w:rsidRPr="009C6B64" w:rsidP="00AB64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04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9204E" w:rsidP="00C9204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04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685D">
      <w:rPr>
        <w:rStyle w:val="PageNumber"/>
        <w:noProof/>
      </w:rPr>
      <w:t>1</w:t>
    </w:r>
    <w:r>
      <w:rPr>
        <w:rStyle w:val="PageNumber"/>
      </w:rPr>
      <w:fldChar w:fldCharType="end"/>
    </w:r>
  </w:p>
  <w:p w:rsidR="00C9204E" w:rsidP="00C9204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7685D"/>
    <w:rsid w:val="002F1C42"/>
    <w:rsid w:val="00386D10"/>
    <w:rsid w:val="003E4314"/>
    <w:rsid w:val="00513211"/>
    <w:rsid w:val="005730E0"/>
    <w:rsid w:val="00600673"/>
    <w:rsid w:val="00687CE7"/>
    <w:rsid w:val="006C306E"/>
    <w:rsid w:val="007C6F42"/>
    <w:rsid w:val="00803D88"/>
    <w:rsid w:val="0097552D"/>
    <w:rsid w:val="009C6B64"/>
    <w:rsid w:val="00AB6467"/>
    <w:rsid w:val="00B52591"/>
    <w:rsid w:val="00C81C24"/>
    <w:rsid w:val="00C9204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306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C920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