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15311" w:rsidRPr="00F13CFF" w:rsidP="00F13CFF">
      <w:pPr>
        <w:pStyle w:val="Heading2"/>
        <w:tabs>
          <w:tab w:val="left" w:pos="3261"/>
        </w:tabs>
        <w:spacing w:line="360" w:lineRule="auto"/>
        <w:jc w:val="center"/>
        <w:rPr>
          <w:rFonts w:ascii="宋体" w:eastAsia="宋体" w:hAnsi="宋体"/>
          <w:color w:val="FF0000"/>
          <w:sz w:val="28"/>
        </w:rPr>
      </w:pPr>
      <w:r w:rsidRPr="00F13CFF">
        <w:rPr>
          <w:rFonts w:ascii="宋体" w:eastAsia="宋体" w:hAnsi="宋体"/>
          <w:color w:val="FF0000"/>
          <w:sz w:val="28"/>
        </w:rPr>
        <w:t>基础专项练24　名篇名句默写</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1．补写出下列句子中的空缺部分。</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(1)庄子《逍遥游》引用了《齐谐》中的“________________，________________”两句来描述大鹏飞往南海的情景。</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(2)辛弃疾《永遇乐·京口北固亭怀古》中“________________，________________”两句抒发了江山依旧而后继无人的感慨。</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(3)《小石潭记》中，柳宗元用“________________，________________”两句描写了池潭上的树木和藤蔓，将宛如图画般的景致展现在读者面前。</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2．补写出下列句子中的空缺部分。</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(1)苏轼在《赤壁赋》中用比喻的修辞手法，感伤我们个人在天地间生命的短暂和个体渺小的诗句是“________________，________________”。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(2)李白在《蜀道难》中用“________________，________________”写急流和瀑布在千山万壑间发出巨大的声响，强调蜀道的山高路险。</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(3)王维《使至塞上》中，诗人借两种自然景物自况，写出了飘零之感的句子是“___________，________________”。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3．补写出下列句子中的空缺部分。</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(1)《离骚》中，屈原以反问语气表明即使受挫也不改志向的两句是“________________，________________？”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(2)《师说》中，“________________，________________”两句阐述了可以向比自己年纪小的人请教问题的原因。</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(3)《阿房宫赋》中，将阿房宫中的乐声与市井言语作对比的句子是“________________，________________”。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4．补写出下列句子中的空缺部分。</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(1)杜甫《登高》中，从时间和空间上，表现诗人客居他乡，疾病缠身，漂泊孤独的两句是“________________，________________”。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(2)《出师表》中诸葛亮劝刘禅对宫中、府中官员的赏罚要坚持同一标准的句子是“________，________________”。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(3)白居易的《琵琶行》中“________________________”一句，写出琵琶女半夜醒来满脸泪痕的凄苦；“________________________”一句，写出诗人听闻琵琶女遭遇后泪洒衣襟。</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5．补写出下列句子中的空缺部分。</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(1)韩愈《师说》一文不仅有严密的论证思路，而且有简洁生动的语言表达，文中“_________，________________”就凝练地概括了“士大夫之族”不愿从师的荒谬心态。</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(2)杜牧《阿房宫赋》中指出，秦与六国都是自取灭亡。他认为，“_____________”，则六国能抵御强秦；“________________”，则秦可江山永固。</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(3)苏轼《赤壁赋》中慨叹生命短暂，向往自然永恒的两句是“________，________”。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6．补写出下列句子中的空缺部分。</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(1)孟子在《鱼我所欲也》中表示，生是我希望得到的，义也是我希望得到的，但“_________，________________”。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(2)在《离骚》中，屈原诉说自己曾佩戴蕙草而遭到贬逐，也曾被加上采摘白芷的罪名，但他坚定地表示“________________，________________”。</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(3)庄子在《逍遥游》中指出，“____________________，____________________”，就像倒在堂前洼地的一杯水，无法浮起一个杯子一样。</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7．补写出下列句子中的空缺部分。</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(1)杜甫《茅屋为秋风所破歌》中“__________________，__________________”两句，通过描写又冷又硬的被子以及小孩蹬破被子表现了诗人生活条件的艰苦。</w:t>
      </w:r>
    </w:p>
    <w:p w:rsidR="00E15311" w:rsidRPr="00F13CFF" w:rsidP="00DD1500">
      <w:pPr>
        <w:pStyle w:val="PlainText"/>
        <w:tabs>
          <w:tab w:val="left" w:pos="3261"/>
        </w:tabs>
        <w:snapToGrid w:val="0"/>
        <w:spacing w:line="360" w:lineRule="auto"/>
        <w:rPr>
          <w:rFonts w:hAnsi="宋体" w:cs="Times New Roman"/>
        </w:rPr>
      </w:pPr>
      <w:r w:rsidRPr="00F13CFF">
        <w:rPr>
          <w:rFonts w:hAnsi="宋体" w:cs="Times New Roman"/>
        </w:rPr>
        <w:t>(2)苏轼在《赤壁赋》中借“水”“月”向客人阐述了“变”与“不变”的道理：从“变”的角度看“______________________”，从“不变”的角度看“______________________”，所以他发出“____________________”的感叹。</w:t>
      </w:r>
    </w:p>
    <w:p w:rsidR="00F70886" w:rsidRPr="00F13CFF" w:rsidP="00F70886">
      <w:pPr>
        <w:pStyle w:val="Heading2"/>
        <w:tabs>
          <w:tab w:val="left" w:pos="3261"/>
        </w:tabs>
        <w:spacing w:line="360" w:lineRule="auto"/>
        <w:jc w:val="center"/>
        <w:rPr>
          <w:rFonts w:ascii="宋体" w:eastAsia="宋体" w:hAnsi="宋体"/>
          <w:sz w:val="21"/>
        </w:rPr>
      </w:pPr>
      <w:r w:rsidRPr="00F13CFF">
        <w:rPr>
          <w:rFonts w:ascii="宋体" w:eastAsia="宋体" w:hAnsi="宋体"/>
          <w:sz w:val="21"/>
        </w:rPr>
        <w:br w:type="page"/>
      </w:r>
      <w:r w:rsidRPr="00F13CFF">
        <w:rPr>
          <w:rFonts w:ascii="宋体" w:eastAsia="宋体" w:hAnsi="宋体"/>
          <w:sz w:val="21"/>
        </w:rPr>
        <w:t>答案精析</w:t>
      </w:r>
    </w:p>
    <w:p w:rsidR="00F70886" w:rsidRPr="00F13CFF" w:rsidP="00F70886">
      <w:pPr>
        <w:pStyle w:val="PlainText"/>
        <w:tabs>
          <w:tab w:val="left" w:pos="3261"/>
        </w:tabs>
        <w:snapToGrid w:val="0"/>
        <w:spacing w:line="360" w:lineRule="auto"/>
        <w:rPr>
          <w:rFonts w:hAnsi="宋体" w:cs="Times New Roman"/>
        </w:rPr>
      </w:pPr>
      <w:r w:rsidRPr="00F13CFF">
        <w:rPr>
          <w:rFonts w:hAnsi="宋体" w:cs="Times New Roman"/>
        </w:rPr>
        <w:t>1</w:t>
      </w:r>
      <w:r w:rsidRPr="00F13CFF">
        <w:rPr>
          <w:rFonts w:hAnsi="宋体"/>
        </w:rPr>
        <w:t>．</w:t>
      </w:r>
      <w:r w:rsidRPr="00F13CFF">
        <w:rPr>
          <w:rFonts w:hAnsi="宋体" w:cs="Times New Roman"/>
        </w:rPr>
        <w:t>(1)水击三千里　抟扶摇而上者九万里　(2)千古江山　英雄无觅孙仲谋处　(3)蒙络摇缀　参差披拂</w:t>
      </w:r>
    </w:p>
    <w:p w:rsidR="00F70886" w:rsidRPr="00F13CFF" w:rsidP="00F70886">
      <w:pPr>
        <w:pStyle w:val="PlainText"/>
        <w:tabs>
          <w:tab w:val="left" w:pos="3261"/>
        </w:tabs>
        <w:snapToGrid w:val="0"/>
        <w:spacing w:line="360" w:lineRule="auto"/>
        <w:rPr>
          <w:rFonts w:hAnsi="宋体" w:cs="Times New Roman"/>
        </w:rPr>
      </w:pPr>
      <w:r w:rsidRPr="00F13CFF">
        <w:rPr>
          <w:rFonts w:hAnsi="宋体" w:cs="Times New Roman"/>
        </w:rPr>
        <w:t>2．(1)寄蜉蝣于天地　渺沧海之一粟　(2)飞湍瀑流争喧豗</w:t>
      </w:r>
      <w:r w:rsidRPr="00F13CFF">
        <w:rPr>
          <w:rFonts w:hAnsi="宋体" w:cs="Times New Roman" w:hint="eastAsia"/>
        </w:rPr>
        <w:t>　</w:t>
      </w:r>
      <w:r w:rsidRPr="00F13CFF">
        <w:rPr>
          <w:rFonts w:hAnsi="宋体" w:cs="Times New Roman"/>
        </w:rPr>
        <w:t>砯崖转石万壑雷　(3)征蓬出汉塞　归雁入胡天</w:t>
      </w:r>
    </w:p>
    <w:p w:rsidR="00F70886" w:rsidRPr="00F13CFF" w:rsidP="00F70886">
      <w:pPr>
        <w:pStyle w:val="PlainText"/>
        <w:tabs>
          <w:tab w:val="left" w:pos="3261"/>
        </w:tabs>
        <w:snapToGrid w:val="0"/>
        <w:spacing w:line="360" w:lineRule="auto"/>
        <w:rPr>
          <w:rFonts w:hAnsi="宋体" w:cs="Times New Roman"/>
        </w:rPr>
      </w:pPr>
      <w:r w:rsidRPr="00F13CFF">
        <w:rPr>
          <w:rFonts w:hAnsi="宋体" w:cs="Times New Roman"/>
        </w:rPr>
        <w:t>3．(1)虽体解吾犹未变兮　岂余心之可惩　(2)生乎吾后　其闻道也亦先乎吾　(3)管弦呕哑　多于市人之言语</w:t>
      </w:r>
    </w:p>
    <w:p w:rsidR="00F70886" w:rsidRPr="00F13CFF" w:rsidP="00F70886">
      <w:pPr>
        <w:pStyle w:val="PlainText"/>
        <w:tabs>
          <w:tab w:val="left" w:pos="3261"/>
        </w:tabs>
        <w:snapToGrid w:val="0"/>
        <w:spacing w:line="360" w:lineRule="auto"/>
        <w:rPr>
          <w:rFonts w:hAnsi="宋体" w:cs="Times New Roman"/>
        </w:rPr>
      </w:pPr>
      <w:r w:rsidRPr="00F13CFF">
        <w:rPr>
          <w:rFonts w:hAnsi="宋体" w:cs="Times New Roman"/>
        </w:rPr>
        <w:t>4．(1)万里悲秋常作客　百年多病独登台　(2)陟罚臧否　不宜异同　(3)梦啼妆泪红阑干　江州青马青衫湿</w:t>
      </w:r>
    </w:p>
    <w:p w:rsidR="00F70886" w:rsidRPr="00F13CFF" w:rsidP="00F70886">
      <w:pPr>
        <w:pStyle w:val="PlainText"/>
        <w:tabs>
          <w:tab w:val="left" w:pos="3261"/>
        </w:tabs>
        <w:snapToGrid w:val="0"/>
        <w:spacing w:line="360" w:lineRule="auto"/>
        <w:rPr>
          <w:rFonts w:hAnsi="宋体" w:cs="Times New Roman"/>
        </w:rPr>
      </w:pPr>
      <w:r w:rsidRPr="00F13CFF">
        <w:rPr>
          <w:rFonts w:hAnsi="宋体" w:cs="Times New Roman"/>
        </w:rPr>
        <w:t>5．(1)位卑则足羞　官盛则近谀　(2)使六国各爱其人　使秦复爱六国之人　(3)哀吾生之须臾　羡长江之无穷</w:t>
      </w:r>
    </w:p>
    <w:p w:rsidR="00F70886" w:rsidRPr="00F13CFF" w:rsidP="00F70886">
      <w:pPr>
        <w:pStyle w:val="PlainText"/>
        <w:tabs>
          <w:tab w:val="left" w:pos="3261"/>
        </w:tabs>
        <w:snapToGrid w:val="0"/>
        <w:spacing w:line="360" w:lineRule="auto"/>
        <w:rPr>
          <w:rFonts w:hAnsi="宋体" w:cs="Times New Roman"/>
        </w:rPr>
      </w:pPr>
      <w:r w:rsidRPr="00F13CFF">
        <w:rPr>
          <w:rFonts w:hAnsi="宋体" w:cs="Times New Roman"/>
        </w:rPr>
        <w:t>6．(1)二者不可得兼　舍生而取义者也　(2)亦余心之所善兮　虽九死其犹未悔　(3)且夫水之积也不厚　则其负大舟也无力</w:t>
      </w:r>
    </w:p>
    <w:p w:rsidR="00863F80" w:rsidRPr="00F13CFF" w:rsidP="00F70886">
      <w:pPr>
        <w:pStyle w:val="PlainText"/>
        <w:tabs>
          <w:tab w:val="left" w:pos="3261"/>
        </w:tabs>
        <w:snapToGrid w:val="0"/>
        <w:spacing w:line="360" w:lineRule="auto"/>
        <w:rPr>
          <w:rFonts w:hAnsi="宋体" w:cs="Times New Roman"/>
        </w:rPr>
      </w:pPr>
      <w:r w:rsidRPr="00F13CFF">
        <w:rPr>
          <w:rFonts w:hAnsi="宋体" w:cs="Times New Roman"/>
        </w:rPr>
        <w:t>7．(1)布衾多年冷似铁　娇儿恶卧踏里裂　(2)则天地曾不能以一瞬　则物与我皆无尽也　而又何羡乎</w:t>
      </w:r>
      <w:bookmarkStart w:id="0" w:name="_GoBack"/>
      <w:bookmarkEnd w:id="0"/>
    </w:p>
    <w:p w:rsidR="00863F80" w:rsidRPr="00F13CFF">
      <w:pPr>
        <w:rPr>
          <w:rFonts w:ascii="宋体" w:hAnsi="宋体"/>
          <w:noProof/>
        </w:rPr>
      </w:pPr>
    </w:p>
    <w:p w:rsidR="00863F80" w:rsidRPr="00F13CFF">
      <w:pPr>
        <w:rPr>
          <w:rFonts w:ascii="宋体" w:hAnsi="宋体"/>
        </w:rPr>
      </w:pPr>
    </w:p>
    <w:p w:rsidR="00F70886" w:rsidRPr="00F13CFF" w:rsidP="00F70886">
      <w:pPr>
        <w:pStyle w:val="PlainText"/>
        <w:tabs>
          <w:tab w:val="left" w:pos="3261"/>
        </w:tabs>
        <w:snapToGrid w:val="0"/>
        <w:spacing w:line="360" w:lineRule="auto"/>
        <w:rPr>
          <w:rFonts w:hAnsi="宋体" w:cs="Times New Roman"/>
        </w:rPr>
      </w:pPr>
    </w:p>
    <w:sectPr w:rsidSect="002A6B04">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80"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63F80" w:rsidP="00863F8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80"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2960">
      <w:rPr>
        <w:rStyle w:val="PageNumber"/>
        <w:noProof/>
      </w:rPr>
      <w:t>1</w:t>
    </w:r>
    <w:r>
      <w:rPr>
        <w:rStyle w:val="PageNumber"/>
      </w:rPr>
      <w:fldChar w:fldCharType="end"/>
    </w:r>
  </w:p>
  <w:p w:rsidR="00863F80" w:rsidP="00863F8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6B04"/>
    <w:rsid w:val="00132960"/>
    <w:rsid w:val="0020728A"/>
    <w:rsid w:val="002A6B04"/>
    <w:rsid w:val="0040271F"/>
    <w:rsid w:val="00687CE7"/>
    <w:rsid w:val="007C2D62"/>
    <w:rsid w:val="007E011F"/>
    <w:rsid w:val="00863F80"/>
    <w:rsid w:val="00883CDA"/>
    <w:rsid w:val="00944A35"/>
    <w:rsid w:val="00B743F0"/>
    <w:rsid w:val="00D75505"/>
    <w:rsid w:val="00DD1500"/>
    <w:rsid w:val="00E15311"/>
    <w:rsid w:val="00F13CFF"/>
    <w:rsid w:val="00F70886"/>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3CDA"/>
    <w:pPr>
      <w:widowControl w:val="0"/>
      <w:jc w:val="both"/>
    </w:pPr>
    <w:rPr>
      <w:kern w:val="2"/>
      <w:sz w:val="21"/>
      <w:szCs w:val="24"/>
    </w:rPr>
  </w:style>
  <w:style w:type="paragraph" w:styleId="Heading1">
    <w:name w:val="heading 1"/>
    <w:basedOn w:val="Normal"/>
    <w:next w:val="Normal"/>
    <w:qFormat/>
    <w:rsid w:val="00E1531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1531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15311"/>
    <w:pPr>
      <w:keepNext/>
      <w:keepLines/>
      <w:spacing w:before="260" w:after="260" w:line="416" w:lineRule="auto"/>
      <w:outlineLvl w:val="2"/>
    </w:pPr>
    <w:rPr>
      <w:b/>
      <w:bCs/>
      <w:sz w:val="32"/>
      <w:szCs w:val="32"/>
    </w:rPr>
  </w:style>
  <w:style w:type="paragraph" w:styleId="Heading4">
    <w:name w:val="heading 4"/>
    <w:basedOn w:val="Normal"/>
    <w:next w:val="Normal"/>
    <w:qFormat/>
    <w:rsid w:val="00E1531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15311"/>
    <w:pPr>
      <w:keepNext/>
      <w:keepLines/>
      <w:spacing w:before="280" w:after="290" w:line="376" w:lineRule="auto"/>
      <w:outlineLvl w:val="4"/>
    </w:pPr>
    <w:rPr>
      <w:b/>
      <w:bCs/>
      <w:sz w:val="28"/>
      <w:szCs w:val="28"/>
    </w:rPr>
  </w:style>
  <w:style w:type="paragraph" w:styleId="Heading6">
    <w:name w:val="heading 6"/>
    <w:basedOn w:val="Normal"/>
    <w:next w:val="Normal"/>
    <w:qFormat/>
    <w:rsid w:val="00E1531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15311"/>
    <w:pPr>
      <w:keepNext/>
      <w:keepLines/>
      <w:spacing w:before="240" w:after="64" w:line="320" w:lineRule="auto"/>
      <w:outlineLvl w:val="6"/>
    </w:pPr>
    <w:rPr>
      <w:b/>
      <w:bCs/>
      <w:sz w:val="24"/>
    </w:rPr>
  </w:style>
  <w:style w:type="paragraph" w:styleId="Heading8">
    <w:name w:val="heading 8"/>
    <w:basedOn w:val="Normal"/>
    <w:next w:val="Normal"/>
    <w:qFormat/>
    <w:rsid w:val="00E1531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A6B04"/>
    <w:rPr>
      <w:rFonts w:ascii="宋体" w:hAnsi="Courier New" w:cs="Courier New"/>
      <w:szCs w:val="21"/>
    </w:rPr>
  </w:style>
  <w:style w:type="paragraph" w:styleId="Header">
    <w:name w:val="header"/>
    <w:basedOn w:val="Normal"/>
    <w:link w:val="Char"/>
    <w:rsid w:val="00DD15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D1500"/>
    <w:rPr>
      <w:kern w:val="2"/>
      <w:sz w:val="18"/>
      <w:szCs w:val="18"/>
    </w:rPr>
  </w:style>
  <w:style w:type="paragraph" w:styleId="Footer">
    <w:name w:val="footer"/>
    <w:basedOn w:val="Normal"/>
    <w:link w:val="Char0"/>
    <w:rsid w:val="00DD1500"/>
    <w:pPr>
      <w:tabs>
        <w:tab w:val="center" w:pos="4153"/>
        <w:tab w:val="right" w:pos="8306"/>
      </w:tabs>
      <w:snapToGrid w:val="0"/>
      <w:jc w:val="left"/>
    </w:pPr>
    <w:rPr>
      <w:sz w:val="18"/>
      <w:szCs w:val="18"/>
    </w:rPr>
  </w:style>
  <w:style w:type="character" w:customStyle="1" w:styleId="Char0">
    <w:name w:val="页脚 Char"/>
    <w:link w:val="Footer"/>
    <w:rsid w:val="00DD1500"/>
    <w:rPr>
      <w:kern w:val="2"/>
      <w:sz w:val="18"/>
      <w:szCs w:val="18"/>
    </w:rPr>
  </w:style>
  <w:style w:type="character" w:customStyle="1" w:styleId="2Char">
    <w:name w:val="标题 2 Char"/>
    <w:link w:val="Heading2"/>
    <w:rsid w:val="00F70886"/>
    <w:rPr>
      <w:rFonts w:ascii="Arial" w:eastAsia="黑体" w:hAnsi="Arial"/>
      <w:b/>
      <w:bCs/>
      <w:kern w:val="2"/>
      <w:sz w:val="32"/>
      <w:szCs w:val="32"/>
    </w:rPr>
  </w:style>
  <w:style w:type="character" w:styleId="PageNumber">
    <w:name w:val="page number"/>
    <w:basedOn w:val="DefaultParagraphFont"/>
    <w:rsid w:val="00863F8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2019-05-23T03:57:00Z</dcterms:created>
  <dcterms:modified xsi:type="dcterms:W3CDTF">2019-05-24T07:28:00Z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