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CC5E56" w:rsidP="00CC5E56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CC5E56">
        <w:rPr>
          <w:rFonts w:ascii="宋体" w:eastAsia="宋体" w:hAnsi="宋体"/>
          <w:color w:val="FF0000"/>
          <w:sz w:val="28"/>
        </w:rPr>
        <w:t>基础专项练32　名句名篇默写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1．补写出下列句子中的空缺部分。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(1)周敦颐《爱莲说》中与“近朱者赤，近墨者黑”形成鲜明对比，表现莲高洁品质的句子是“________________，________________”。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(2)苏轼《念奴娇·赤壁怀古》中，“__________________”一句，写的是周瑜的儒将装束；“____________________”一句，表明了周瑜的赫赫战功。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(3)《庄子·逍遥游》中，“________________？______________”两句对天空颜色的成因进行了探寻，并发出了疑问。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2．补写出下列句子中的空缺部分。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(1)韩愈在《师说》中揭示择师标准的两句是“________________，________________”。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(2)白居易《琵琶行》中以“___________”一句表现了乐声轻细的特点，以“___________”一句表现了乐声流畅的特点。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(3)范仲淹《渔家傲》中，“________________，________________”两句既表达了对家乡的思念，又包含功业未就、无法归家的无奈。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3．补写出下列句子中的空缺部分。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(1)《〈论语〉十则》中，含有“路遥知马力，日久见人心”之意的句子是“_____________，________________”。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(2)《荀子·劝学》中用蚯蚓“爪牙”不利、“筋骨”不强却上吃泥土下饮泉水来证明用心专一的好处，用相反的事例“______________，______________”来揭示用心不专的坏处。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(3)《庄子·逍遥游》中“______________，_______________”两句，指出顺应天地万物之性、驾驭六气的变化才是真正的逍遥游。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4．补写出下列句子中的空缺部分。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(1)《诗经·氓》中，女主人公用“____________________，____________________”两句比喻说理，说明什么事物都有一个限制，借以反衬氓的变化无常。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(2)韩愈《师说》中，“____________________，____________________”两句直接指向了士大夫阶层的门第观念，具有在学问面前人人平等的民主精神和辩证思想，作者随即断言，道之有无是择师的唯一标准。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(3)在《出师表》开头，诸葛亮向后主指出，先帝刘备过早去世，“________________，________________”，正是危急存亡之时。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5．补写出下列句子中的空缺部分。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(1)柳宗元《小石潭记》中，“_____________”写出了小石潭附近岸势参差不齐的特点。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(2)杜甫《登高》中，“__________________，__________________”两句分别从听觉和视觉</w:t>
      </w:r>
      <w:r w:rsidRPr="00CC5E56">
        <w:rPr>
          <w:rFonts w:hAnsi="宋体" w:cs="Times New Roman"/>
        </w:rPr>
        <w:t>两方面写了夔州秋天的典型特征，猿声哀怨凄惨，沙渚色彩清淡，渲染了悲凉的气氛。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(3)《师说》中，韩愈所说的“师”，有其独特含义，他明确指出自己所说的老师不是启蒙老师的句子是“______________，________________”。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6．补写出下列句子中的空缺部分。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(1)《荀子·劝学》中，在列举事例后，以总结性语句“_______________，________________”强调了人要善于借助外力来提升自己。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(2)《蜀道难》中，李白用夸张的手法写蜀道高与天齐、山峰奇绝的句子是“______________，________________________”。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(3)《岳阳楼记》中，范仲淹先是发出“________________________”的疑问，然后假托古仁人之口回答，点明了全篇的主旨。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7．补写出下列句子中的空缺部分。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(1)荀子在《劝学》中，通过车马、舟楫的类比论证，最终想阐明的道理是“____________，__________________”。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(2)刘禹锡《酬乐天扬州初逢席上见赠》中运用典故表达物是人非、沧桑变迁的悲凉、哀伤的两句是“____________________，____________________”。</w:t>
      </w:r>
    </w:p>
    <w:p w:rsidR="00475D37" w:rsidRPr="00CC5E56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(3)范仲淹《渔家傲》中表现戍边将士既思念家乡又渴望建功立业的矛盾心理的句子是“__________________，__________________”。</w:t>
      </w:r>
    </w:p>
    <w:p w:rsidR="00445B84" w:rsidRPr="00CC5E56" w:rsidP="00445B8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CC5E56">
        <w:rPr>
          <w:rFonts w:ascii="宋体" w:eastAsia="宋体" w:hAnsi="宋体"/>
          <w:sz w:val="21"/>
        </w:rPr>
        <w:br w:type="page"/>
      </w:r>
      <w:r w:rsidRPr="00CC5E56">
        <w:rPr>
          <w:rFonts w:ascii="宋体" w:eastAsia="宋体" w:hAnsi="宋体"/>
          <w:sz w:val="21"/>
        </w:rPr>
        <w:t>答案精析</w:t>
      </w: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1</w:t>
      </w:r>
      <w:r w:rsidRPr="00CC5E56">
        <w:rPr>
          <w:rFonts w:hAnsi="宋体"/>
        </w:rPr>
        <w:t>．</w:t>
      </w:r>
      <w:r w:rsidRPr="00CC5E56">
        <w:rPr>
          <w:rFonts w:hAnsi="宋体" w:cs="Times New Roman"/>
        </w:rPr>
        <w:t>(1)(予独爱莲之)出淤泥而不染　濯清涟而不妖</w:t>
      </w:r>
      <w:r w:rsidRPr="00CC5E56">
        <w:rPr>
          <w:rFonts w:hAnsi="宋体" w:cs="Times New Roman" w:hint="eastAsia"/>
        </w:rPr>
        <w:t>　</w:t>
      </w:r>
      <w:r w:rsidRPr="00CC5E56">
        <w:rPr>
          <w:rFonts w:hAnsi="宋体" w:cs="Times New Roman"/>
        </w:rPr>
        <w:t>(2)羽扇纶巾　樯橹灰飞烟灭　(3)其正色邪　其远而无所至极邪</w:t>
      </w: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2．(1)道之所存　师之所存也　(2)小弦切切如私语</w:t>
      </w:r>
      <w:r w:rsidRPr="00CC5E56">
        <w:rPr>
          <w:rFonts w:hAnsi="宋体" w:cs="Times New Roman" w:hint="eastAsia"/>
        </w:rPr>
        <w:t>　</w:t>
      </w:r>
      <w:r w:rsidRPr="00CC5E56">
        <w:rPr>
          <w:rFonts w:hAnsi="宋体" w:cs="Times New Roman"/>
        </w:rPr>
        <w:t>间关莺语花底滑　(3)浊酒一杯家万里　燕然未勒归无计</w:t>
      </w: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3．(1)岁寒　然后知松柏之后凋也　(2)蟹六跪而二螯　非蛇鳝之穴无可寄托者　(3)若夫乘天地之正　而御六气之辩</w:t>
      </w: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4．(1)淇则有岸　隰则有泮　(2)无贵无贱　无长无少　(3)今天下三分　益州疲弊</w:t>
      </w: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5．(1)其岸势犬牙差互　(2)风急天高猿啸哀　渚清沙白鸟飞回　(3)授之书而习其句读者　非吾所谓传其道解其惑者也</w:t>
      </w: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  <w:spacing w:val="2"/>
        </w:rPr>
      </w:pPr>
      <w:r w:rsidRPr="00CC5E56">
        <w:rPr>
          <w:rFonts w:hAnsi="宋体" w:cs="Times New Roman"/>
        </w:rPr>
        <w:t>6．(1)</w:t>
      </w:r>
      <w:r w:rsidRPr="00CC5E56">
        <w:rPr>
          <w:rFonts w:hAnsi="宋体" w:cs="Times New Roman"/>
          <w:spacing w:val="2"/>
        </w:rPr>
        <w:t>君子生非异也　善假于物也　(2)连峰去天不盈尺　枯松倒挂倚绝壁　(3)然则何时而乐耶</w:t>
      </w:r>
    </w:p>
    <w:p w:rsidR="00EE178E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CC5E56">
        <w:rPr>
          <w:rFonts w:hAnsi="宋体" w:cs="Times New Roman"/>
        </w:rPr>
        <w:t>7．(1)君子生非异也　善假于物也　(2)怀旧空吟闻笛赋　到乡翻似烂柯人　(3)浊酒一杯家万里　燕然未勒归无计</w:t>
      </w:r>
      <w:bookmarkStart w:id="0" w:name="_GoBack"/>
      <w:bookmarkEnd w:id="0"/>
    </w:p>
    <w:p w:rsidR="00EE178E" w:rsidRPr="00CC5E56">
      <w:pPr>
        <w:rPr>
          <w:rFonts w:ascii="宋体" w:hAnsi="宋体"/>
          <w:noProof/>
        </w:rPr>
      </w:pPr>
    </w:p>
    <w:p w:rsidR="00EE178E" w:rsidRPr="00CC5E56">
      <w:pPr>
        <w:rPr>
          <w:rFonts w:ascii="宋体" w:hAnsi="宋体"/>
        </w:rPr>
      </w:pPr>
    </w:p>
    <w:p w:rsidR="00445B84" w:rsidRPr="00CC5E56" w:rsidP="00445B8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8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E178E" w:rsidP="00EE178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78E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51C7">
      <w:rPr>
        <w:rStyle w:val="PageNumber"/>
        <w:noProof/>
      </w:rPr>
      <w:t>1</w:t>
    </w:r>
    <w:r>
      <w:rPr>
        <w:rStyle w:val="PageNumber"/>
      </w:rPr>
      <w:fldChar w:fldCharType="end"/>
    </w:r>
  </w:p>
  <w:p w:rsidR="00EE178E" w:rsidP="00EE178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2A1F24"/>
    <w:rsid w:val="002B57DB"/>
    <w:rsid w:val="003C60FA"/>
    <w:rsid w:val="00445B84"/>
    <w:rsid w:val="00475D37"/>
    <w:rsid w:val="00596C75"/>
    <w:rsid w:val="005A29C2"/>
    <w:rsid w:val="006648C1"/>
    <w:rsid w:val="0066763C"/>
    <w:rsid w:val="00687CE7"/>
    <w:rsid w:val="007177C6"/>
    <w:rsid w:val="00745145"/>
    <w:rsid w:val="008151C7"/>
    <w:rsid w:val="0083380D"/>
    <w:rsid w:val="00886CFA"/>
    <w:rsid w:val="009166BD"/>
    <w:rsid w:val="00B53F55"/>
    <w:rsid w:val="00CC5E56"/>
    <w:rsid w:val="00EE178E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380D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445B84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EE17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